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2A33C" w14:textId="2E09A828" w:rsidR="00931D16" w:rsidRPr="007B6D1E" w:rsidRDefault="00931D16" w:rsidP="00931D16">
      <w:pPr>
        <w:pStyle w:val="3GPPHeader"/>
        <w:spacing w:after="60"/>
        <w:rPr>
          <w:sz w:val="32"/>
          <w:szCs w:val="32"/>
        </w:rPr>
      </w:pPr>
      <w:bookmarkStart w:id="0" w:name="_Hlk16152892"/>
      <w:bookmarkStart w:id="1" w:name="_Hlk524960622"/>
      <w:r w:rsidRPr="002B28E7">
        <w:t>3GPP TSG-RAN WG1 Meeting #9</w:t>
      </w:r>
      <w:r>
        <w:t>9</w:t>
      </w:r>
      <w:r w:rsidRPr="002B28E7">
        <w:tab/>
      </w:r>
      <w:r w:rsidRPr="00D2671C">
        <w:rPr>
          <w:sz w:val="32"/>
          <w:szCs w:val="32"/>
        </w:rPr>
        <w:t>R1-19</w:t>
      </w:r>
      <w:r w:rsidR="00564CBA">
        <w:rPr>
          <w:sz w:val="32"/>
          <w:szCs w:val="32"/>
        </w:rPr>
        <w:t>1</w:t>
      </w:r>
      <w:bookmarkStart w:id="2" w:name="_GoBack"/>
      <w:bookmarkEnd w:id="2"/>
      <w:r w:rsidR="00D2671C" w:rsidRPr="00D2671C">
        <w:rPr>
          <w:sz w:val="32"/>
          <w:szCs w:val="32"/>
        </w:rPr>
        <w:t>2713</w:t>
      </w:r>
    </w:p>
    <w:p w14:paraId="3D6D2AA9" w14:textId="77777777" w:rsidR="00931D16" w:rsidRPr="002B28E7" w:rsidRDefault="00931D16" w:rsidP="00931D16">
      <w:pPr>
        <w:pStyle w:val="3GPPHeader"/>
      </w:pPr>
      <w:r>
        <w:t>Reno, NV, USA</w:t>
      </w:r>
      <w:r w:rsidRPr="002B28E7">
        <w:t xml:space="preserve">, </w:t>
      </w:r>
      <w:r>
        <w:t>18</w:t>
      </w:r>
      <w:r w:rsidRPr="002B28E7">
        <w:rPr>
          <w:vertAlign w:val="superscript"/>
        </w:rPr>
        <w:t>th</w:t>
      </w:r>
      <w:r w:rsidRPr="002B28E7">
        <w:t xml:space="preserve"> – </w:t>
      </w:r>
      <w:r>
        <w:t>22</w:t>
      </w:r>
      <w:r>
        <w:rPr>
          <w:vertAlign w:val="superscript"/>
        </w:rPr>
        <w:t>nd</w:t>
      </w:r>
      <w:r w:rsidRPr="002B28E7">
        <w:t xml:space="preserve"> </w:t>
      </w:r>
      <w:proofErr w:type="gramStart"/>
      <w:r>
        <w:t>November</w:t>
      </w:r>
      <w:r w:rsidRPr="002B28E7">
        <w:t>,</w:t>
      </w:r>
      <w:proofErr w:type="gramEnd"/>
      <w:r w:rsidRPr="002B28E7">
        <w:t xml:space="preserve"> 2019</w:t>
      </w:r>
    </w:p>
    <w:bookmarkEnd w:id="0"/>
    <w:p w14:paraId="752B6174" w14:textId="77777777" w:rsidR="009F0D27" w:rsidRPr="002B28E7" w:rsidRDefault="009F0D27" w:rsidP="009F0D27">
      <w:pPr>
        <w:pStyle w:val="3GPPHeader"/>
      </w:pPr>
    </w:p>
    <w:p w14:paraId="7EEB5E57" w14:textId="19BAB6C7" w:rsidR="00B048E3" w:rsidRPr="001F2F75" w:rsidRDefault="00B048E3" w:rsidP="00B048E3">
      <w:pPr>
        <w:pStyle w:val="3GPPHeader"/>
        <w:rPr>
          <w:sz w:val="22"/>
        </w:rPr>
      </w:pPr>
      <w:r w:rsidRPr="001F2F75">
        <w:rPr>
          <w:sz w:val="22"/>
        </w:rPr>
        <w:t>Agenda Item:</w:t>
      </w:r>
      <w:r w:rsidRPr="001F2F75">
        <w:rPr>
          <w:sz w:val="22"/>
        </w:rPr>
        <w:tab/>
      </w:r>
      <w:r w:rsidR="00E6180E" w:rsidRPr="001F2F75">
        <w:rPr>
          <w:sz w:val="22"/>
        </w:rPr>
        <w:t>7.2.2.</w:t>
      </w:r>
      <w:r w:rsidR="003318FB" w:rsidRPr="001F2F75">
        <w:rPr>
          <w:sz w:val="22"/>
        </w:rPr>
        <w:t>2.</w:t>
      </w:r>
      <w:r w:rsidR="00E6180E" w:rsidRPr="001F2F75">
        <w:rPr>
          <w:sz w:val="22"/>
        </w:rPr>
        <w:t>5</w:t>
      </w:r>
    </w:p>
    <w:p w14:paraId="268F38BA" w14:textId="77777777" w:rsidR="00B048E3" w:rsidRPr="001F2F75" w:rsidRDefault="00B048E3" w:rsidP="00B048E3">
      <w:pPr>
        <w:pStyle w:val="3GPPHeader"/>
        <w:rPr>
          <w:sz w:val="22"/>
        </w:rPr>
      </w:pPr>
      <w:r w:rsidRPr="001F2F75">
        <w:rPr>
          <w:sz w:val="22"/>
        </w:rPr>
        <w:t>Source:</w:t>
      </w:r>
      <w:r w:rsidRPr="001F2F75">
        <w:rPr>
          <w:sz w:val="22"/>
        </w:rPr>
        <w:tab/>
        <w:t>Ericsson</w:t>
      </w:r>
    </w:p>
    <w:p w14:paraId="2467EAC2" w14:textId="13D901B5" w:rsidR="00E90E49" w:rsidRPr="001F2F75" w:rsidRDefault="003D3C45" w:rsidP="00311702">
      <w:pPr>
        <w:pStyle w:val="3GPPHeader"/>
        <w:rPr>
          <w:sz w:val="22"/>
        </w:rPr>
      </w:pPr>
      <w:r w:rsidRPr="001F2F75">
        <w:rPr>
          <w:sz w:val="22"/>
        </w:rPr>
        <w:t>Title:</w:t>
      </w:r>
      <w:r w:rsidR="00E90E49" w:rsidRPr="001F2F75">
        <w:rPr>
          <w:sz w:val="22"/>
        </w:rPr>
        <w:tab/>
      </w:r>
      <w:r w:rsidR="00E6180E" w:rsidRPr="001F2F75">
        <w:rPr>
          <w:sz w:val="22"/>
        </w:rPr>
        <w:t>Wideband operation for NR-U</w:t>
      </w:r>
    </w:p>
    <w:p w14:paraId="41A5EA0B" w14:textId="77777777" w:rsidR="00E90E49" w:rsidRPr="00CE0424" w:rsidRDefault="00E90E49" w:rsidP="00D546FF">
      <w:pPr>
        <w:pStyle w:val="3GPPHeader"/>
        <w:rPr>
          <w:sz w:val="22"/>
        </w:rPr>
      </w:pPr>
      <w:r w:rsidRPr="00421245">
        <w:rPr>
          <w:sz w:val="22"/>
        </w:rPr>
        <w:t>Document for:</w:t>
      </w:r>
      <w:r w:rsidRPr="00421245">
        <w:rPr>
          <w:sz w:val="22"/>
        </w:rPr>
        <w:tab/>
      </w:r>
      <w:r w:rsidRPr="004E3838">
        <w:rPr>
          <w:sz w:val="22"/>
        </w:rPr>
        <w:t>Discussion, Decision</w:t>
      </w:r>
    </w:p>
    <w:bookmarkEnd w:id="1"/>
    <w:p w14:paraId="6C880F09" w14:textId="29516660" w:rsidR="00F364A8" w:rsidRPr="00F364A8" w:rsidRDefault="00084365" w:rsidP="00F364A8">
      <w:pPr>
        <w:pStyle w:val="Heading1"/>
      </w:pPr>
      <w:r>
        <w:t>1</w:t>
      </w:r>
      <w:r>
        <w:tab/>
        <w:t>Introduction</w:t>
      </w:r>
    </w:p>
    <w:p w14:paraId="07E22665" w14:textId="32D14CD0" w:rsidR="00F364A8" w:rsidRDefault="00F364A8" w:rsidP="006D5340">
      <w:pPr>
        <w:rPr>
          <w:rFonts w:ascii="Arial" w:hAnsi="Arial"/>
          <w:lang w:eastAsia="zh-CN"/>
        </w:rPr>
      </w:pPr>
      <w:r>
        <w:rPr>
          <w:rFonts w:ascii="Arial" w:hAnsi="Arial"/>
          <w:lang w:eastAsia="zh-CN"/>
        </w:rPr>
        <w:t>This paper discusses remaining issues for wideband operation.</w:t>
      </w:r>
    </w:p>
    <w:p w14:paraId="227C9C89" w14:textId="5D807460" w:rsidR="00F364A8" w:rsidRDefault="00F364A8" w:rsidP="00F364A8">
      <w:pPr>
        <w:pStyle w:val="Heading1"/>
      </w:pPr>
      <w:r>
        <w:t>2</w:t>
      </w:r>
      <w:r>
        <w:tab/>
        <w:t>Open Issues</w:t>
      </w:r>
    </w:p>
    <w:p w14:paraId="23FD6DE7" w14:textId="5F99F58F" w:rsidR="00F364A8" w:rsidRPr="00F364A8" w:rsidRDefault="00F364A8" w:rsidP="00F364A8">
      <w:pPr>
        <w:pStyle w:val="Heading2"/>
      </w:pPr>
      <w:r>
        <w:t>2.1 Wideband Operation in the Uplink</w:t>
      </w:r>
    </w:p>
    <w:p w14:paraId="177424A1" w14:textId="2F7A74DE" w:rsidR="006D5340" w:rsidRDefault="006D5340" w:rsidP="006D5340">
      <w:pPr>
        <w:rPr>
          <w:rFonts w:ascii="Arial" w:hAnsi="Arial"/>
          <w:lang w:eastAsia="zh-CN"/>
        </w:rPr>
      </w:pPr>
      <w:r w:rsidRPr="006D5340">
        <w:rPr>
          <w:rFonts w:ascii="Arial" w:hAnsi="Arial"/>
          <w:lang w:eastAsia="zh-CN"/>
        </w:rPr>
        <w:t>Th</w:t>
      </w:r>
      <w:r>
        <w:rPr>
          <w:rFonts w:ascii="Arial" w:hAnsi="Arial"/>
          <w:lang w:eastAsia="zh-CN"/>
        </w:rPr>
        <w:t>e following agreement was made in RAN1#98b:</w:t>
      </w:r>
    </w:p>
    <w:p w14:paraId="13DA494D" w14:textId="4B59EACD" w:rsidR="004D6DB7" w:rsidRPr="004D6DB7" w:rsidRDefault="004D6DB7" w:rsidP="004D6DB7">
      <w:pPr>
        <w:spacing w:after="0" w:line="240" w:lineRule="auto"/>
        <w:rPr>
          <w:rFonts w:ascii="Times" w:eastAsia="Batang" w:hAnsi="Times" w:cs="Times New Roman"/>
          <w:sz w:val="20"/>
          <w:szCs w:val="24"/>
          <w:lang w:val="en-GB"/>
        </w:rPr>
      </w:pPr>
      <w:r w:rsidRPr="004D6DB7">
        <w:rPr>
          <w:rFonts w:ascii="Times" w:eastAsia="Batang" w:hAnsi="Times" w:cs="Times New Roman"/>
          <w:sz w:val="20"/>
          <w:szCs w:val="24"/>
          <w:highlight w:val="green"/>
          <w:lang w:val="en-GB"/>
        </w:rPr>
        <w:t>Agreement</w:t>
      </w:r>
      <w:r w:rsidRPr="004D6DB7">
        <w:rPr>
          <w:rFonts w:ascii="Times" w:eastAsia="Batang" w:hAnsi="Times" w:cs="Times New Roman"/>
          <w:sz w:val="20"/>
          <w:szCs w:val="24"/>
          <w:highlight w:val="green"/>
          <w:lang w:val="en-GB"/>
        </w:rPr>
        <w:t xml:space="preserve"> #1:</w:t>
      </w:r>
    </w:p>
    <w:p w14:paraId="383AD4E2" w14:textId="77777777" w:rsidR="004D6DB7" w:rsidRPr="004D6DB7" w:rsidRDefault="004D6DB7" w:rsidP="00DF7387">
      <w:pPr>
        <w:numPr>
          <w:ilvl w:val="0"/>
          <w:numId w:val="16"/>
        </w:numPr>
        <w:spacing w:after="0" w:line="240" w:lineRule="auto"/>
        <w:rPr>
          <w:rFonts w:ascii="Times" w:eastAsia="Batang" w:hAnsi="Times" w:cs="Times New Roman"/>
          <w:sz w:val="20"/>
          <w:szCs w:val="24"/>
          <w:lang w:val="en-GB"/>
        </w:rPr>
      </w:pPr>
      <w:r w:rsidRPr="004D6DB7">
        <w:rPr>
          <w:rFonts w:ascii="Times" w:eastAsia="Batang" w:hAnsi="Times" w:cs="Times New Roman"/>
          <w:sz w:val="20"/>
          <w:szCs w:val="24"/>
          <w:lang w:val="en-GB"/>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4405A7A3" w14:textId="77777777" w:rsidR="004D6DB7" w:rsidRPr="004D6DB7" w:rsidRDefault="004D6DB7" w:rsidP="00DF7387">
      <w:pPr>
        <w:numPr>
          <w:ilvl w:val="0"/>
          <w:numId w:val="16"/>
        </w:numPr>
        <w:spacing w:after="0" w:line="240" w:lineRule="auto"/>
        <w:rPr>
          <w:rFonts w:ascii="Times" w:eastAsia="Batang" w:hAnsi="Times" w:cs="Times New Roman"/>
          <w:sz w:val="20"/>
          <w:szCs w:val="24"/>
          <w:lang w:val="en-GB"/>
        </w:rPr>
      </w:pPr>
      <w:r w:rsidRPr="004D6DB7">
        <w:rPr>
          <w:rFonts w:ascii="Times" w:eastAsia="Batang" w:hAnsi="Times" w:cs="Times New Roman"/>
          <w:sz w:val="20"/>
          <w:szCs w:val="24"/>
          <w:lang w:val="en-GB"/>
        </w:rPr>
        <w:t xml:space="preserve">The UE is not expected to receive resource allocations in </w:t>
      </w:r>
      <w:proofErr w:type="spellStart"/>
      <w:r w:rsidRPr="004D6DB7">
        <w:rPr>
          <w:rFonts w:ascii="Times" w:eastAsia="Batang" w:hAnsi="Times" w:cs="Times New Roman"/>
          <w:sz w:val="20"/>
          <w:szCs w:val="24"/>
          <w:lang w:val="en-GB"/>
        </w:rPr>
        <w:t>discontiguous</w:t>
      </w:r>
      <w:proofErr w:type="spellEnd"/>
      <w:r w:rsidRPr="004D6DB7">
        <w:rPr>
          <w:rFonts w:ascii="Times" w:eastAsia="Batang" w:hAnsi="Times" w:cs="Times New Roman"/>
          <w:sz w:val="20"/>
          <w:szCs w:val="24"/>
          <w:lang w:val="en-GB"/>
        </w:rPr>
        <w:t xml:space="preserve"> LBT bandwidths within a wideband carrier</w:t>
      </w:r>
    </w:p>
    <w:p w14:paraId="27FCE146" w14:textId="77777777" w:rsidR="004D6DB7" w:rsidRPr="004D6DB7" w:rsidRDefault="004D6DB7" w:rsidP="00DF7387">
      <w:pPr>
        <w:numPr>
          <w:ilvl w:val="1"/>
          <w:numId w:val="16"/>
        </w:numPr>
        <w:spacing w:after="0" w:line="240" w:lineRule="auto"/>
        <w:rPr>
          <w:rFonts w:ascii="Times" w:eastAsia="Batang" w:hAnsi="Times" w:cs="Times New Roman"/>
          <w:sz w:val="20"/>
          <w:szCs w:val="24"/>
          <w:lang w:val="en-GB"/>
        </w:rPr>
      </w:pPr>
      <w:r w:rsidRPr="004D6DB7">
        <w:rPr>
          <w:rFonts w:ascii="Times" w:eastAsia="Batang" w:hAnsi="Times" w:cs="Times New Roman"/>
          <w:sz w:val="20"/>
          <w:szCs w:val="24"/>
          <w:lang w:val="en-GB"/>
        </w:rPr>
        <w:t xml:space="preserve">This does not preclude such resource allocation in </w:t>
      </w:r>
      <w:proofErr w:type="spellStart"/>
      <w:r w:rsidRPr="004D6DB7">
        <w:rPr>
          <w:rFonts w:ascii="Times" w:eastAsia="Batang" w:hAnsi="Times" w:cs="Times New Roman"/>
          <w:sz w:val="20"/>
          <w:szCs w:val="24"/>
          <w:lang w:val="en-GB"/>
        </w:rPr>
        <w:t>discontiguous</w:t>
      </w:r>
      <w:proofErr w:type="spellEnd"/>
      <w:r w:rsidRPr="004D6DB7">
        <w:rPr>
          <w:rFonts w:ascii="Times" w:eastAsia="Batang" w:hAnsi="Times" w:cs="Times New Roman"/>
          <w:sz w:val="20"/>
          <w:szCs w:val="24"/>
          <w:lang w:val="en-GB"/>
        </w:rPr>
        <w:t xml:space="preserve"> LBT bandwidths being supported by specifications managed by RAN1 in Rel-16.</w:t>
      </w:r>
    </w:p>
    <w:p w14:paraId="2B5AF1BA" w14:textId="77777777" w:rsidR="004D6DB7" w:rsidRPr="004D6DB7" w:rsidRDefault="004D6DB7" w:rsidP="004D6DB7">
      <w:pPr>
        <w:spacing w:after="0" w:line="240" w:lineRule="auto"/>
        <w:rPr>
          <w:rFonts w:ascii="Times" w:eastAsia="Batang" w:hAnsi="Times" w:cs="Times New Roman"/>
          <w:sz w:val="20"/>
          <w:szCs w:val="24"/>
          <w:lang w:val="en-GB" w:eastAsia="x-none"/>
        </w:rPr>
      </w:pPr>
    </w:p>
    <w:p w14:paraId="70B0832A" w14:textId="0FF3D1EE" w:rsidR="00DA2C67" w:rsidRDefault="006617B8" w:rsidP="006617B8">
      <w:pPr>
        <w:pStyle w:val="BodyText"/>
      </w:pPr>
      <w:r>
        <w:t xml:space="preserve">Based on </w:t>
      </w:r>
      <w:r w:rsidR="00F364A8">
        <w:t>this agreement</w:t>
      </w:r>
      <w:r>
        <w:t xml:space="preserve">, </w:t>
      </w:r>
      <w:r w:rsidR="005B28E4">
        <w:t xml:space="preserve">it is our understanding that PUSCH transmission </w:t>
      </w:r>
      <w:r w:rsidR="005B01C8">
        <w:t xml:space="preserve">in a wideband carrier </w:t>
      </w:r>
      <w:r w:rsidR="005B28E4">
        <w:t xml:space="preserve">can be achieved with existing Rel-15 functionality. No further work in RAN1 is needed other than to </w:t>
      </w:r>
      <w:r w:rsidR="00967C9D">
        <w:t>specify interlaced transmission for the UL and PUSCH frequency domain resource allocation. The latter is treated in our paper in the UL Signals and Channels agenda item</w:t>
      </w:r>
      <w:r w:rsidR="001F1766">
        <w:t xml:space="preserve"> </w:t>
      </w:r>
      <w:r w:rsidR="001F1766">
        <w:fldChar w:fldCharType="begin"/>
      </w:r>
      <w:r w:rsidR="001F1766">
        <w:instrText xml:space="preserve"> REF _Ref16178072 \r \h </w:instrText>
      </w:r>
      <w:r w:rsidR="001F1766">
        <w:fldChar w:fldCharType="separate"/>
      </w:r>
      <w:r w:rsidR="00DF7387">
        <w:t>[13]</w:t>
      </w:r>
      <w:r w:rsidR="001F1766">
        <w:fldChar w:fldCharType="end"/>
      </w:r>
      <w:r w:rsidR="00967C9D">
        <w:t>.</w:t>
      </w:r>
    </w:p>
    <w:p w14:paraId="46E6BEC9" w14:textId="590D20D7" w:rsidR="005B28E4" w:rsidRPr="001F2F75" w:rsidRDefault="00DA2C67" w:rsidP="00EB2FD1">
      <w:pPr>
        <w:pStyle w:val="Observation"/>
        <w:ind w:left="1710" w:hanging="1710"/>
      </w:pPr>
      <w:bookmarkStart w:id="3" w:name="_Toc24147360"/>
      <w:r w:rsidRPr="001F2F75">
        <w:t>No further work is needed in the Wideband Agenda item for wideband operation in the uplink.</w:t>
      </w:r>
      <w:bookmarkEnd w:id="3"/>
      <w:r w:rsidR="00967C9D" w:rsidRPr="001F2F75">
        <w:t xml:space="preserve">  </w:t>
      </w:r>
    </w:p>
    <w:p w14:paraId="528FC064" w14:textId="71D5AA50" w:rsidR="004F7147" w:rsidRDefault="00F364A8" w:rsidP="004F7147">
      <w:pPr>
        <w:pStyle w:val="Heading2"/>
      </w:pPr>
      <w:r>
        <w:t>2.2</w:t>
      </w:r>
      <w:r w:rsidR="004F7147">
        <w:tab/>
      </w:r>
      <w:r w:rsidR="006617B8">
        <w:t xml:space="preserve">UE Capability on </w:t>
      </w:r>
      <w:r w:rsidR="004D6DB7">
        <w:t>Number of PDSCHs</w:t>
      </w:r>
    </w:p>
    <w:p w14:paraId="6FD4927E" w14:textId="40C91898" w:rsidR="004F7147" w:rsidRPr="001F2F75" w:rsidRDefault="006617B8" w:rsidP="004F7147">
      <w:pPr>
        <w:pStyle w:val="BodyText"/>
      </w:pPr>
      <w:r>
        <w:t>In RAN1#97 the following conclusion was reached:</w:t>
      </w:r>
    </w:p>
    <w:p w14:paraId="4904E7A1" w14:textId="77777777" w:rsidR="004F7147" w:rsidRPr="00CF2AF0" w:rsidRDefault="004F7147" w:rsidP="004F7147">
      <w:pPr>
        <w:spacing w:after="0" w:line="240" w:lineRule="auto"/>
        <w:ind w:left="567"/>
        <w:rPr>
          <w:rFonts w:ascii="Times" w:eastAsia="Batang" w:hAnsi="Times" w:cs="Times New Roman"/>
          <w:sz w:val="20"/>
          <w:szCs w:val="24"/>
          <w:u w:val="single"/>
          <w:lang w:val="en-GB"/>
        </w:rPr>
      </w:pPr>
      <w:r w:rsidRPr="00CF2AF0">
        <w:rPr>
          <w:rFonts w:ascii="Times" w:eastAsia="Batang" w:hAnsi="Times" w:cs="Times New Roman"/>
          <w:sz w:val="20"/>
          <w:szCs w:val="24"/>
          <w:highlight w:val="cyan"/>
          <w:u w:val="single"/>
          <w:lang w:val="en-GB"/>
        </w:rPr>
        <w:t>Conclusion</w:t>
      </w:r>
      <w:r w:rsidRPr="00CF2AF0">
        <w:rPr>
          <w:rFonts w:ascii="Times" w:eastAsia="Batang" w:hAnsi="Times" w:cs="Times New Roman"/>
          <w:sz w:val="20"/>
          <w:szCs w:val="24"/>
          <w:u w:val="single"/>
          <w:lang w:val="en-GB"/>
        </w:rPr>
        <w:t>:</w:t>
      </w:r>
    </w:p>
    <w:p w14:paraId="5C36EF11" w14:textId="77777777" w:rsidR="004F7147" w:rsidRPr="00CF2AF0" w:rsidRDefault="004F7147" w:rsidP="004F7147">
      <w:pPr>
        <w:spacing w:line="252" w:lineRule="auto"/>
        <w:ind w:left="567"/>
        <w:contextualSpacing/>
        <w:rPr>
          <w:rFonts w:ascii="Calibri" w:eastAsia="Times New Roman" w:hAnsi="Calibri" w:cs="Times"/>
          <w:sz w:val="20"/>
          <w:szCs w:val="20"/>
          <w:lang w:val="en-GB" w:eastAsia="zh-CN"/>
        </w:rPr>
      </w:pPr>
      <w:r w:rsidRPr="00CF2AF0">
        <w:rPr>
          <w:rFonts w:ascii="Times" w:eastAsia="Times New Roman" w:hAnsi="Times" w:cs="Times"/>
          <w:sz w:val="20"/>
          <w:szCs w:val="24"/>
          <w:lang w:val="en-GB" w:eastAsia="ko-KR"/>
        </w:rPr>
        <w:t>A UE can receive a PDSCH scheduled within an LBT bandwidth or over multiple LBT bandwidths as per Rel-15 and current agreements in Rel-16.</w:t>
      </w:r>
    </w:p>
    <w:p w14:paraId="1197B240" w14:textId="5EEB5DFF" w:rsidR="004F7147" w:rsidRDefault="004F7147" w:rsidP="006617B8">
      <w:pPr>
        <w:pStyle w:val="BodyText"/>
      </w:pPr>
      <w:r w:rsidRPr="001F2F75">
        <w:t xml:space="preserve">Our understanding of </w:t>
      </w:r>
      <w:r w:rsidR="006617B8">
        <w:t>the intention of this</w:t>
      </w:r>
      <w:r w:rsidRPr="001F2F75">
        <w:t xml:space="preserve"> conclusion is that initially within a COT, one or multiple </w:t>
      </w:r>
      <w:r w:rsidR="006617B8">
        <w:t xml:space="preserve">simultaneous </w:t>
      </w:r>
      <w:r w:rsidRPr="001F2F75">
        <w:t xml:space="preserve">PDSCHs can be scheduled, with one PDSCH per LBT </w:t>
      </w:r>
      <w:r w:rsidR="006617B8">
        <w:t>bandwidth</w:t>
      </w:r>
      <w:r w:rsidRPr="001F2F75">
        <w:t xml:space="preserve">. Later in the COT, when the LBT outcome is known by the </w:t>
      </w:r>
      <w:proofErr w:type="spellStart"/>
      <w:r w:rsidRPr="001F2F75">
        <w:t>gNB</w:t>
      </w:r>
      <w:proofErr w:type="spellEnd"/>
      <w:r w:rsidRPr="001F2F75">
        <w:t xml:space="preserve"> and the scheduler has time to react, one or multiple PDSCHs can be scheduled spanning one or more LBT </w:t>
      </w:r>
      <w:r w:rsidR="006617B8">
        <w:t>bandwidths</w:t>
      </w:r>
      <w:r w:rsidRPr="001F2F75">
        <w:t>.</w:t>
      </w:r>
    </w:p>
    <w:p w14:paraId="45EC2775" w14:textId="482D8B84" w:rsidR="006617B8" w:rsidRDefault="006617B8" w:rsidP="006617B8">
      <w:pPr>
        <w:pStyle w:val="BodyText"/>
      </w:pPr>
      <w:r>
        <w:t xml:space="preserve">Based on discussions during the work item, it seems to be common understanding that the multiple </w:t>
      </w:r>
      <w:r w:rsidR="00B737FC">
        <w:t xml:space="preserve">simultaneous </w:t>
      </w:r>
      <w:r>
        <w:t xml:space="preserve">PDSCHs in the first slots of a COT can be </w:t>
      </w:r>
      <w:r w:rsidR="00B737FC">
        <w:t xml:space="preserve">scheduled </w:t>
      </w:r>
      <w:r>
        <w:t xml:space="preserve">to </w:t>
      </w:r>
      <w:r w:rsidR="00B737FC">
        <w:t xml:space="preserve">either </w:t>
      </w:r>
      <w:r>
        <w:t>one user or multiple users.</w:t>
      </w:r>
      <w:r w:rsidR="00B737FC">
        <w:t xml:space="preserve"> For the former, clearly it is necessary that the UE supports reception of multiple simultaneous PDSCHs. However, such UE capability has not been discussed yet.</w:t>
      </w:r>
    </w:p>
    <w:p w14:paraId="46B312A0" w14:textId="77777777" w:rsidR="00B737FC" w:rsidRDefault="00B737FC" w:rsidP="006617B8">
      <w:pPr>
        <w:pStyle w:val="BodyText"/>
      </w:pPr>
      <w:r>
        <w:t>In the above conclusion the common understanding was that “current agreements in Rel-16,” referred to the multi-TRP (</w:t>
      </w:r>
      <w:proofErr w:type="spellStart"/>
      <w:r>
        <w:t>eMIMO</w:t>
      </w:r>
      <w:proofErr w:type="spellEnd"/>
      <w:r>
        <w:t>) work item where it was agreed to support simultaneous reception of two PDSCHs from two TRPs. However, lately there has been some debate within the NR-U work item if such simultaneous reception is indeed supported for UEs that are not “</w:t>
      </w:r>
      <w:proofErr w:type="spellStart"/>
      <w:r>
        <w:t>eMIMO</w:t>
      </w:r>
      <w:proofErr w:type="spellEnd"/>
      <w:r>
        <w:t>” capable.</w:t>
      </w:r>
    </w:p>
    <w:p w14:paraId="4F268154" w14:textId="504991AD" w:rsidR="00B737FC" w:rsidRDefault="00B737FC" w:rsidP="006617B8">
      <w:pPr>
        <w:pStyle w:val="BodyText"/>
      </w:pPr>
      <w:r>
        <w:t xml:space="preserve">If the view is that this capability does not carry over to NR-U, then the only way to make use of multiple LBT bandwidths is if the </w:t>
      </w:r>
      <w:proofErr w:type="spellStart"/>
      <w:r>
        <w:t>gNB</w:t>
      </w:r>
      <w:proofErr w:type="spellEnd"/>
      <w:r>
        <w:t xml:space="preserve"> has multiple UEs to schedule simultaneously, and this is far from guaranteed. If UEs </w:t>
      </w:r>
      <w:proofErr w:type="gramStart"/>
      <w:r>
        <w:t>are capable of receiving</w:t>
      </w:r>
      <w:proofErr w:type="gramEnd"/>
      <w:r>
        <w:t xml:space="preserve"> only a single PDSCH, and the </w:t>
      </w:r>
      <w:proofErr w:type="spellStart"/>
      <w:r>
        <w:t>gNB</w:t>
      </w:r>
      <w:proofErr w:type="spellEnd"/>
      <w:r>
        <w:t xml:space="preserve"> does not have multiple UEs to schedule in the beginning of the COT, then only one LBT bandwidth can be utilized to schedule the single user once the </w:t>
      </w:r>
      <w:proofErr w:type="spellStart"/>
      <w:r>
        <w:t>gNB</w:t>
      </w:r>
      <w:proofErr w:type="spellEnd"/>
      <w:r>
        <w:t xml:space="preserve"> has gained access to the channel. It is not possible to wait for a few slots then schedule the user across multiple LBT bandwidths according to channel access rules.</w:t>
      </w:r>
    </w:p>
    <w:p w14:paraId="3166842C" w14:textId="47E7FD9F" w:rsidR="00B737FC" w:rsidRDefault="00B737FC" w:rsidP="006617B8">
      <w:pPr>
        <w:pStyle w:val="BodyText"/>
      </w:pPr>
      <w:r>
        <w:t xml:space="preserve">Hence in order to make efficient use of </w:t>
      </w:r>
      <w:r w:rsidR="00795361">
        <w:t xml:space="preserve">a wideband </w:t>
      </w:r>
      <w:proofErr w:type="spellStart"/>
      <w:r w:rsidR="00795361">
        <w:t>carier</w:t>
      </w:r>
      <w:proofErr w:type="spellEnd"/>
      <w:r>
        <w:t xml:space="preserve"> when there are not multiple simultaneous UEs to schedule, UEs in the system should be capable of supporting simultaneous reception of more than one PDSCH. For this reason, such UE capabilities should be discussed further.</w:t>
      </w:r>
    </w:p>
    <w:p w14:paraId="164E315B" w14:textId="6D126EEB" w:rsidR="00B737FC" w:rsidRDefault="00B737FC" w:rsidP="00795361">
      <w:pPr>
        <w:pStyle w:val="Observation"/>
        <w:ind w:left="1710" w:hanging="1710"/>
      </w:pPr>
      <w:bookmarkStart w:id="4" w:name="_Toc24147361"/>
      <w:r>
        <w:t>In order to make efficient use of a wideband carrier, UEs should be capable</w:t>
      </w:r>
      <w:r w:rsidR="00795361">
        <w:t xml:space="preserve"> of supporting simultaneous reception of two or more PDSCHs.</w:t>
      </w:r>
      <w:bookmarkEnd w:id="4"/>
      <w:r>
        <w:t xml:space="preserve">  </w:t>
      </w:r>
    </w:p>
    <w:p w14:paraId="169DFBB0" w14:textId="701DF2A8" w:rsidR="00795361" w:rsidRDefault="00795361" w:rsidP="00795361">
      <w:pPr>
        <w:pStyle w:val="Proposal"/>
      </w:pPr>
      <w:bookmarkStart w:id="5" w:name="_Toc24147309"/>
      <w:r>
        <w:t>Further discussion is needed on UE capability for simultaneous reception of two or more PDSCHs</w:t>
      </w:r>
      <w:bookmarkEnd w:id="5"/>
    </w:p>
    <w:p w14:paraId="2CF23647" w14:textId="5C1BD6D9" w:rsidR="00EC67DB" w:rsidRDefault="00F364A8" w:rsidP="00EC67DB">
      <w:pPr>
        <w:pStyle w:val="Heading2"/>
      </w:pPr>
      <w:r>
        <w:t>2.</w:t>
      </w:r>
      <w:r w:rsidR="00DF7387">
        <w:t>3</w:t>
      </w:r>
      <w:r w:rsidR="00EC67DB">
        <w:tab/>
        <w:t xml:space="preserve">Configuration of RB </w:t>
      </w:r>
      <w:r>
        <w:t>Sets</w:t>
      </w:r>
    </w:p>
    <w:p w14:paraId="7E03D775" w14:textId="7E891845" w:rsidR="00F364A8" w:rsidRPr="00F364A8" w:rsidRDefault="00F364A8" w:rsidP="006617B8">
      <w:pPr>
        <w:rPr>
          <w:rFonts w:ascii="Arial" w:hAnsi="Arial"/>
          <w:lang w:eastAsia="zh-CN"/>
        </w:rPr>
      </w:pPr>
      <w:r w:rsidRPr="00F364A8">
        <w:rPr>
          <w:rFonts w:ascii="Arial" w:hAnsi="Arial"/>
          <w:lang w:eastAsia="zh-CN"/>
        </w:rPr>
        <w:t>Th</w:t>
      </w:r>
      <w:r>
        <w:rPr>
          <w:rFonts w:ascii="Arial" w:hAnsi="Arial"/>
          <w:lang w:eastAsia="zh-CN"/>
        </w:rPr>
        <w:t>e following agreement was made in RAN1#98b</w:t>
      </w:r>
    </w:p>
    <w:p w14:paraId="0649195E" w14:textId="77777777" w:rsidR="00F364A8" w:rsidRPr="004D6DB7" w:rsidRDefault="00F364A8" w:rsidP="00F364A8">
      <w:pPr>
        <w:spacing w:after="0" w:line="240" w:lineRule="auto"/>
        <w:rPr>
          <w:rFonts w:ascii="Times" w:eastAsia="Batang" w:hAnsi="Times" w:cs="Times New Roman"/>
          <w:sz w:val="20"/>
          <w:szCs w:val="24"/>
          <w:lang w:val="en-GB"/>
        </w:rPr>
      </w:pPr>
      <w:r w:rsidRPr="004D6DB7">
        <w:rPr>
          <w:rFonts w:ascii="Times" w:eastAsia="Batang" w:hAnsi="Times" w:cs="Times New Roman"/>
          <w:sz w:val="20"/>
          <w:szCs w:val="24"/>
          <w:highlight w:val="green"/>
          <w:lang w:val="en-GB"/>
        </w:rPr>
        <w:t>Agreement</w:t>
      </w:r>
      <w:r>
        <w:rPr>
          <w:rFonts w:ascii="Times" w:eastAsia="Batang" w:hAnsi="Times" w:cs="Times New Roman"/>
          <w:sz w:val="20"/>
          <w:szCs w:val="24"/>
          <w:highlight w:val="green"/>
          <w:lang w:val="en-GB"/>
        </w:rPr>
        <w:t xml:space="preserve"> #2</w:t>
      </w:r>
      <w:r w:rsidRPr="004D6DB7">
        <w:rPr>
          <w:rFonts w:ascii="Times" w:eastAsia="Batang" w:hAnsi="Times" w:cs="Times New Roman"/>
          <w:sz w:val="20"/>
          <w:szCs w:val="24"/>
          <w:highlight w:val="green"/>
          <w:lang w:val="en-GB"/>
        </w:rPr>
        <w:t>:</w:t>
      </w:r>
    </w:p>
    <w:p w14:paraId="3D5EE84A" w14:textId="77777777" w:rsidR="00F364A8" w:rsidRPr="004D6DB7" w:rsidRDefault="00F364A8" w:rsidP="00F364A8">
      <w:pPr>
        <w:spacing w:after="0" w:line="240" w:lineRule="auto"/>
        <w:rPr>
          <w:rFonts w:ascii="Times" w:eastAsia="Batang" w:hAnsi="Times" w:cs="Times New Roman"/>
          <w:sz w:val="20"/>
          <w:szCs w:val="24"/>
          <w:lang w:val="en-GB"/>
        </w:rPr>
      </w:pPr>
      <w:r w:rsidRPr="004D6DB7">
        <w:rPr>
          <w:rFonts w:ascii="Times" w:eastAsia="Batang" w:hAnsi="Times" w:cs="Times New Roman"/>
          <w:sz w:val="20"/>
          <w:szCs w:val="24"/>
          <w:lang w:val="en-GB"/>
        </w:rPr>
        <w:t>The intra-carrier guard bands on a carrier can be semi-statically adjusted with an RB level granularity. The RAN4 minimum guard band requirements are used as the guard bands when no semi-static adjustment is applied.</w:t>
      </w:r>
    </w:p>
    <w:p w14:paraId="7D02411C" w14:textId="77777777" w:rsidR="00F364A8" w:rsidRPr="004D6DB7" w:rsidRDefault="00F364A8" w:rsidP="00DF7387">
      <w:pPr>
        <w:numPr>
          <w:ilvl w:val="0"/>
          <w:numId w:val="16"/>
        </w:numPr>
        <w:spacing w:after="0" w:line="240" w:lineRule="auto"/>
        <w:rPr>
          <w:rFonts w:ascii="Times" w:eastAsia="Batang" w:hAnsi="Times" w:cs="Times New Roman"/>
          <w:sz w:val="20"/>
          <w:szCs w:val="24"/>
          <w:lang w:val="en-GB"/>
        </w:rPr>
      </w:pPr>
      <w:r w:rsidRPr="004D6DB7">
        <w:rPr>
          <w:rFonts w:ascii="Times" w:eastAsia="Batang" w:hAnsi="Times" w:cs="Times New Roman"/>
          <w:sz w:val="20"/>
          <w:szCs w:val="24"/>
          <w:lang w:val="en-GB"/>
        </w:rPr>
        <w:t>The guard bands adjustments do not affect the already agreed restrictions on PUCCH resource allocation.</w:t>
      </w:r>
    </w:p>
    <w:p w14:paraId="5A88D465" w14:textId="77777777" w:rsidR="00F364A8" w:rsidRPr="004D6DB7" w:rsidRDefault="00F364A8" w:rsidP="00DF7387">
      <w:pPr>
        <w:numPr>
          <w:ilvl w:val="0"/>
          <w:numId w:val="16"/>
        </w:numPr>
        <w:spacing w:after="0" w:line="240" w:lineRule="auto"/>
        <w:rPr>
          <w:rFonts w:ascii="Times" w:eastAsia="Batang" w:hAnsi="Times" w:cs="Times New Roman"/>
          <w:sz w:val="20"/>
          <w:szCs w:val="24"/>
          <w:lang w:val="en-GB"/>
        </w:rPr>
      </w:pPr>
      <w:r w:rsidRPr="004D6DB7">
        <w:rPr>
          <w:rFonts w:ascii="Times" w:eastAsia="Batang" w:hAnsi="Times" w:cs="Times New Roman"/>
          <w:sz w:val="20"/>
          <w:szCs w:val="24"/>
          <w:lang w:val="en-GB"/>
        </w:rPr>
        <w:t>FFS: Whether and how to handle the case where the intra-carrier guard bands are part of a resource allocation</w:t>
      </w:r>
    </w:p>
    <w:p w14:paraId="4E48FF08" w14:textId="0713628C" w:rsidR="00F364A8" w:rsidRDefault="00F364A8" w:rsidP="00F364A8">
      <w:pPr>
        <w:rPr>
          <w:rFonts w:ascii="Arial" w:hAnsi="Arial"/>
          <w:lang w:eastAsia="zh-CN"/>
        </w:rPr>
      </w:pPr>
    </w:p>
    <w:p w14:paraId="0DB84378" w14:textId="10E09079" w:rsidR="00F364A8" w:rsidRDefault="00F364A8" w:rsidP="00F364A8">
      <w:pPr>
        <w:rPr>
          <w:rFonts w:ascii="Arial" w:hAnsi="Arial"/>
          <w:lang w:eastAsia="zh-CN"/>
        </w:rPr>
      </w:pPr>
      <w:r>
        <w:rPr>
          <w:rFonts w:ascii="Arial" w:hAnsi="Arial"/>
          <w:lang w:eastAsia="zh-CN"/>
        </w:rPr>
        <w:t>And the following related RRC parameter was included in the RRC parameter spreadsheet:</w:t>
      </w:r>
    </w:p>
    <w:p w14:paraId="616CB5AA" w14:textId="77777777" w:rsidR="00F364A8" w:rsidRPr="006617B8" w:rsidRDefault="00F364A8" w:rsidP="00F364A8">
      <w:pPr>
        <w:spacing w:after="0" w:line="240" w:lineRule="auto"/>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t>From Endorsed</w:t>
      </w:r>
      <w:r w:rsidRPr="006617B8">
        <w:rPr>
          <w:rFonts w:ascii="Times" w:eastAsia="Batang" w:hAnsi="Times" w:cs="Times New Roman"/>
          <w:sz w:val="20"/>
          <w:szCs w:val="24"/>
          <w:highlight w:val="green"/>
          <w:lang w:val="en-GB"/>
        </w:rPr>
        <w:t xml:space="preserve"> R1-1911722</w:t>
      </w:r>
      <w:r>
        <w:rPr>
          <w:rFonts w:ascii="Times" w:eastAsia="Batang" w:hAnsi="Times" w:cs="Times New Roman"/>
          <w:sz w:val="20"/>
          <w:szCs w:val="24"/>
          <w:highlight w:val="green"/>
          <w:lang w:val="en-GB"/>
        </w:rPr>
        <w:t>:</w:t>
      </w:r>
    </w:p>
    <w:tbl>
      <w:tblPr>
        <w:tblStyle w:val="TableGrid10"/>
        <w:tblW w:w="9895" w:type="dxa"/>
        <w:tblLayout w:type="fixed"/>
        <w:tblLook w:val="04A0" w:firstRow="1" w:lastRow="0" w:firstColumn="1" w:lastColumn="0" w:noHBand="0" w:noVBand="1"/>
      </w:tblPr>
      <w:tblGrid>
        <w:gridCol w:w="1255"/>
        <w:gridCol w:w="1710"/>
        <w:gridCol w:w="990"/>
        <w:gridCol w:w="810"/>
        <w:gridCol w:w="990"/>
        <w:gridCol w:w="3150"/>
        <w:gridCol w:w="990"/>
      </w:tblGrid>
      <w:tr w:rsidR="00F364A8" w:rsidRPr="004D6DB7" w14:paraId="30AD8526" w14:textId="77777777" w:rsidTr="002C500F">
        <w:tc>
          <w:tcPr>
            <w:tcW w:w="1255" w:type="dxa"/>
            <w:tcBorders>
              <w:top w:val="single" w:sz="4" w:space="0" w:color="auto"/>
              <w:left w:val="single" w:sz="4" w:space="0" w:color="auto"/>
              <w:bottom w:val="single" w:sz="4" w:space="0" w:color="auto"/>
              <w:right w:val="single" w:sz="4" w:space="0" w:color="auto"/>
            </w:tcBorders>
            <w:vAlign w:val="bottom"/>
            <w:hideMark/>
          </w:tcPr>
          <w:p w14:paraId="228219D8" w14:textId="77777777" w:rsidR="00F364A8" w:rsidRPr="004D6DB7" w:rsidRDefault="00F364A8" w:rsidP="002C500F">
            <w:pPr>
              <w:spacing w:after="0" w:line="240" w:lineRule="auto"/>
              <w:rPr>
                <w:rFonts w:ascii="Calibri" w:eastAsia="SimSun" w:hAnsi="Calibri" w:cs="Calibri"/>
                <w:b/>
                <w:bCs/>
                <w:color w:val="000000"/>
                <w:sz w:val="16"/>
                <w:szCs w:val="16"/>
                <w:lang w:eastAsia="zh-CN"/>
              </w:rPr>
            </w:pPr>
            <w:r w:rsidRPr="004D6DB7">
              <w:rPr>
                <w:rFonts w:ascii="Calibri" w:eastAsia="SimSun" w:hAnsi="Calibri" w:cs="Calibri"/>
                <w:b/>
                <w:bCs/>
                <w:color w:val="000000"/>
                <w:sz w:val="16"/>
                <w:szCs w:val="16"/>
                <w:lang w:eastAsia="zh-CN"/>
              </w:rPr>
              <w:t>Parameter Name</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4263A33" w14:textId="77777777" w:rsidR="00F364A8" w:rsidRPr="004D6DB7" w:rsidRDefault="00F364A8" w:rsidP="002C500F">
            <w:pPr>
              <w:spacing w:after="0" w:line="240" w:lineRule="auto"/>
              <w:rPr>
                <w:rFonts w:ascii="Calibri" w:eastAsia="SimSun" w:hAnsi="Calibri" w:cs="Calibri"/>
                <w:b/>
                <w:bCs/>
                <w:color w:val="000000"/>
                <w:sz w:val="16"/>
                <w:szCs w:val="16"/>
                <w:lang w:eastAsia="zh-CN"/>
              </w:rPr>
            </w:pPr>
            <w:r w:rsidRPr="004D6DB7">
              <w:rPr>
                <w:rFonts w:ascii="Calibri" w:eastAsia="SimSun" w:hAnsi="Calibri" w:cs="Calibri"/>
                <w:b/>
                <w:bCs/>
                <w:color w:val="000000"/>
                <w:sz w:val="16"/>
                <w:szCs w:val="16"/>
                <w:lang w:eastAsia="zh-CN"/>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7993A259" w14:textId="77777777" w:rsidR="00F364A8" w:rsidRPr="004D6DB7" w:rsidRDefault="00F364A8" w:rsidP="002C500F">
            <w:pPr>
              <w:spacing w:after="0" w:line="240" w:lineRule="auto"/>
              <w:rPr>
                <w:rFonts w:ascii="Calibri" w:eastAsia="SimSun" w:hAnsi="Calibri" w:cs="Calibri"/>
                <w:b/>
                <w:bCs/>
                <w:color w:val="000000"/>
                <w:sz w:val="16"/>
                <w:szCs w:val="16"/>
                <w:lang w:eastAsia="zh-CN"/>
              </w:rPr>
            </w:pPr>
            <w:r w:rsidRPr="004D6DB7">
              <w:rPr>
                <w:rFonts w:ascii="Calibri" w:eastAsia="SimSun" w:hAnsi="Calibri" w:cs="Calibri"/>
                <w:b/>
                <w:bCs/>
                <w:color w:val="000000"/>
                <w:sz w:val="16"/>
                <w:szCs w:val="16"/>
                <w:lang w:eastAsia="zh-CN"/>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2FC818DC" w14:textId="77777777" w:rsidR="00F364A8" w:rsidRPr="004D6DB7" w:rsidRDefault="00F364A8" w:rsidP="002C500F">
            <w:pPr>
              <w:spacing w:after="0" w:line="240" w:lineRule="auto"/>
              <w:rPr>
                <w:rFonts w:ascii="Calibri" w:eastAsia="SimSun" w:hAnsi="Calibri" w:cs="Calibri"/>
                <w:b/>
                <w:bCs/>
                <w:color w:val="000000"/>
                <w:sz w:val="16"/>
                <w:szCs w:val="16"/>
                <w:lang w:eastAsia="zh-CN"/>
              </w:rPr>
            </w:pPr>
            <w:r w:rsidRPr="004D6DB7">
              <w:rPr>
                <w:rFonts w:ascii="Calibri" w:eastAsia="SimSun" w:hAnsi="Calibri" w:cs="Calibri"/>
                <w:b/>
                <w:bCs/>
                <w:color w:val="000000"/>
                <w:sz w:val="16"/>
                <w:szCs w:val="16"/>
                <w:lang w:eastAsia="zh-CN"/>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2A6E7263" w14:textId="77777777" w:rsidR="00F364A8" w:rsidRPr="004D6DB7" w:rsidRDefault="00F364A8" w:rsidP="002C500F">
            <w:pPr>
              <w:spacing w:after="0" w:line="240" w:lineRule="auto"/>
              <w:rPr>
                <w:rFonts w:ascii="Calibri" w:eastAsia="SimSun" w:hAnsi="Calibri" w:cs="Calibri"/>
                <w:b/>
                <w:bCs/>
                <w:color w:val="000000"/>
                <w:sz w:val="16"/>
                <w:szCs w:val="16"/>
                <w:lang w:eastAsia="zh-CN"/>
              </w:rPr>
            </w:pPr>
            <w:r w:rsidRPr="004D6DB7">
              <w:rPr>
                <w:rFonts w:ascii="Calibri" w:eastAsia="SimSun" w:hAnsi="Calibri" w:cs="Calibri"/>
                <w:b/>
                <w:bCs/>
                <w:color w:val="000000"/>
                <w:sz w:val="16"/>
                <w:szCs w:val="16"/>
                <w:lang w:eastAsia="zh-CN"/>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6A26F7DC" w14:textId="77777777" w:rsidR="00F364A8" w:rsidRPr="004D6DB7" w:rsidRDefault="00F364A8" w:rsidP="002C500F">
            <w:pPr>
              <w:spacing w:after="0" w:line="240" w:lineRule="auto"/>
              <w:rPr>
                <w:rFonts w:ascii="Calibri" w:eastAsia="SimSun" w:hAnsi="Calibri" w:cs="Calibri"/>
                <w:b/>
                <w:bCs/>
                <w:color w:val="000000"/>
                <w:sz w:val="16"/>
                <w:szCs w:val="16"/>
                <w:lang w:eastAsia="zh-CN"/>
              </w:rPr>
            </w:pPr>
            <w:r w:rsidRPr="004D6DB7">
              <w:rPr>
                <w:rFonts w:ascii="Calibri" w:eastAsia="SimSun" w:hAnsi="Calibri" w:cs="Calibri"/>
                <w:b/>
                <w:bCs/>
                <w:color w:val="000000"/>
                <w:sz w:val="16"/>
                <w:szCs w:val="16"/>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bottom"/>
            <w:hideMark/>
          </w:tcPr>
          <w:p w14:paraId="73FFA017" w14:textId="77777777" w:rsidR="00F364A8" w:rsidRPr="004D6DB7" w:rsidRDefault="00F364A8" w:rsidP="002C500F">
            <w:pPr>
              <w:spacing w:after="0" w:line="240" w:lineRule="auto"/>
              <w:rPr>
                <w:rFonts w:ascii="Calibri" w:eastAsia="SimSun" w:hAnsi="Calibri" w:cs="Calibri"/>
                <w:b/>
                <w:bCs/>
                <w:color w:val="000000"/>
                <w:sz w:val="16"/>
                <w:szCs w:val="16"/>
                <w:lang w:eastAsia="zh-CN"/>
              </w:rPr>
            </w:pPr>
            <w:r w:rsidRPr="004D6DB7">
              <w:rPr>
                <w:rFonts w:ascii="Calibri" w:eastAsia="SimSun" w:hAnsi="Calibri" w:cs="Calibri"/>
                <w:b/>
                <w:bCs/>
                <w:color w:val="000000"/>
                <w:sz w:val="16"/>
                <w:szCs w:val="16"/>
                <w:lang w:eastAsia="zh-CN"/>
              </w:rPr>
              <w:t>Configuration restriction (if any)</w:t>
            </w:r>
          </w:p>
        </w:tc>
      </w:tr>
      <w:tr w:rsidR="00F364A8" w:rsidRPr="004D6DB7" w14:paraId="774FF8B8" w14:textId="77777777" w:rsidTr="002C500F">
        <w:tc>
          <w:tcPr>
            <w:tcW w:w="1255" w:type="dxa"/>
            <w:tcBorders>
              <w:top w:val="single" w:sz="4" w:space="0" w:color="auto"/>
              <w:left w:val="single" w:sz="4" w:space="0" w:color="auto"/>
              <w:bottom w:val="single" w:sz="4" w:space="0" w:color="auto"/>
              <w:right w:val="single" w:sz="4" w:space="0" w:color="auto"/>
            </w:tcBorders>
          </w:tcPr>
          <w:p w14:paraId="0BD9C0C6" w14:textId="77777777" w:rsidR="00F364A8" w:rsidRPr="004D6DB7" w:rsidRDefault="00F364A8" w:rsidP="002C500F">
            <w:pPr>
              <w:spacing w:after="0" w:line="240" w:lineRule="auto"/>
              <w:rPr>
                <w:rFonts w:ascii="Calibri" w:eastAsia="SimSun" w:hAnsi="Calibri" w:cs="Calibri"/>
                <w:color w:val="000000"/>
                <w:sz w:val="16"/>
                <w:szCs w:val="16"/>
                <w:highlight w:val="yellow"/>
                <w:lang w:eastAsia="zh-CN"/>
              </w:rPr>
            </w:pPr>
            <w:r w:rsidRPr="004D6DB7">
              <w:rPr>
                <w:rFonts w:ascii="Calibri" w:eastAsia="SimSun" w:hAnsi="Calibri" w:cs="Calibri"/>
                <w:color w:val="000000"/>
                <w:sz w:val="16"/>
                <w:szCs w:val="16"/>
                <w:highlight w:val="yellow"/>
                <w:lang w:eastAsia="zh-CN"/>
              </w:rPr>
              <w:t xml:space="preserve">FFS between intraCellGuardBand-r16 and </w:t>
            </w:r>
          </w:p>
          <w:p w14:paraId="3BC527B9" w14:textId="77777777" w:rsidR="00F364A8" w:rsidRPr="004D6DB7" w:rsidRDefault="00F364A8" w:rsidP="002C500F">
            <w:p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highlight w:val="yellow"/>
                <w:lang w:eastAsia="zh-CN"/>
              </w:rPr>
              <w:t>RB-RangesPerCell-r16</w:t>
            </w:r>
          </w:p>
          <w:p w14:paraId="1591BC1A" w14:textId="77777777" w:rsidR="00F364A8" w:rsidRPr="004D6DB7" w:rsidRDefault="00F364A8" w:rsidP="002C500F">
            <w:pPr>
              <w:spacing w:after="0" w:line="240" w:lineRule="auto"/>
              <w:rPr>
                <w:rFonts w:ascii="Calibri" w:eastAsia="SimSun" w:hAnsi="Calibri" w:cs="Calibri"/>
                <w:color w:val="000000"/>
                <w:sz w:val="16"/>
                <w:szCs w:val="16"/>
                <w:lang w:eastAsia="zh-CN"/>
              </w:rPr>
            </w:pPr>
          </w:p>
        </w:tc>
        <w:tc>
          <w:tcPr>
            <w:tcW w:w="1710" w:type="dxa"/>
            <w:tcBorders>
              <w:top w:val="single" w:sz="4" w:space="0" w:color="auto"/>
              <w:left w:val="single" w:sz="4" w:space="0" w:color="auto"/>
              <w:bottom w:val="single" w:sz="4" w:space="0" w:color="auto"/>
              <w:right w:val="single" w:sz="4" w:space="0" w:color="auto"/>
            </w:tcBorders>
          </w:tcPr>
          <w:p w14:paraId="12E9E766" w14:textId="77777777" w:rsidR="00F364A8" w:rsidRPr="004D6DB7" w:rsidRDefault="00F364A8" w:rsidP="002C500F">
            <w:p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lang w:eastAsia="zh-CN"/>
              </w:rPr>
              <w:t>FFS value</w:t>
            </w:r>
          </w:p>
          <w:p w14:paraId="325EDF24" w14:textId="77777777" w:rsidR="00F364A8" w:rsidRPr="004D6DB7" w:rsidRDefault="00F364A8" w:rsidP="002C500F">
            <w:p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lang w:eastAsia="zh-CN"/>
              </w:rPr>
              <w:t>FFS if the values are based on CRB or PRB depends this is per cell or per BWP</w:t>
            </w:r>
          </w:p>
        </w:tc>
        <w:tc>
          <w:tcPr>
            <w:tcW w:w="990" w:type="dxa"/>
            <w:tcBorders>
              <w:top w:val="single" w:sz="4" w:space="0" w:color="auto"/>
              <w:left w:val="single" w:sz="4" w:space="0" w:color="auto"/>
              <w:bottom w:val="single" w:sz="4" w:space="0" w:color="auto"/>
              <w:right w:val="single" w:sz="4" w:space="0" w:color="auto"/>
            </w:tcBorders>
          </w:tcPr>
          <w:p w14:paraId="7CA32C8F" w14:textId="77777777" w:rsidR="00F364A8" w:rsidRPr="004D6DB7" w:rsidRDefault="00F364A8" w:rsidP="002C500F">
            <w:p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lang w:eastAsia="zh-CN"/>
              </w:rPr>
              <w:t>new</w:t>
            </w:r>
          </w:p>
        </w:tc>
        <w:tc>
          <w:tcPr>
            <w:tcW w:w="810" w:type="dxa"/>
            <w:tcBorders>
              <w:top w:val="single" w:sz="4" w:space="0" w:color="auto"/>
              <w:left w:val="single" w:sz="4" w:space="0" w:color="auto"/>
              <w:bottom w:val="single" w:sz="4" w:space="0" w:color="auto"/>
              <w:right w:val="single" w:sz="4" w:space="0" w:color="auto"/>
            </w:tcBorders>
          </w:tcPr>
          <w:p w14:paraId="1AF16AE7" w14:textId="77777777" w:rsidR="00F364A8" w:rsidRPr="004D6DB7" w:rsidRDefault="00F364A8" w:rsidP="002C500F">
            <w:p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lang w:eastAsia="zh-CN"/>
              </w:rPr>
              <w:t>FFS: Per cell or per BWP</w:t>
            </w:r>
          </w:p>
        </w:tc>
        <w:tc>
          <w:tcPr>
            <w:tcW w:w="990" w:type="dxa"/>
            <w:tcBorders>
              <w:top w:val="single" w:sz="4" w:space="0" w:color="auto"/>
              <w:left w:val="single" w:sz="4" w:space="0" w:color="auto"/>
              <w:bottom w:val="single" w:sz="4" w:space="0" w:color="auto"/>
              <w:right w:val="single" w:sz="4" w:space="0" w:color="auto"/>
            </w:tcBorders>
          </w:tcPr>
          <w:p w14:paraId="3A9EEA9F" w14:textId="77777777" w:rsidR="00F364A8" w:rsidRPr="004D6DB7" w:rsidRDefault="00F364A8" w:rsidP="002C500F">
            <w:p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lang w:eastAsia="zh-CN"/>
              </w:rPr>
              <w:t>FFS</w:t>
            </w:r>
          </w:p>
        </w:tc>
        <w:tc>
          <w:tcPr>
            <w:tcW w:w="3150" w:type="dxa"/>
            <w:tcBorders>
              <w:top w:val="single" w:sz="4" w:space="0" w:color="auto"/>
              <w:left w:val="single" w:sz="4" w:space="0" w:color="auto"/>
              <w:bottom w:val="single" w:sz="4" w:space="0" w:color="auto"/>
              <w:right w:val="single" w:sz="4" w:space="0" w:color="auto"/>
            </w:tcBorders>
          </w:tcPr>
          <w:p w14:paraId="7D9BB345" w14:textId="77777777" w:rsidR="00F364A8" w:rsidRPr="004D6DB7" w:rsidRDefault="00F364A8" w:rsidP="002C500F">
            <w:p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lang w:eastAsia="zh-CN"/>
              </w:rPr>
              <w:t xml:space="preserve">To capture the agreement: </w:t>
            </w:r>
          </w:p>
          <w:p w14:paraId="59395247" w14:textId="77777777" w:rsidR="00F364A8" w:rsidRPr="004D6DB7" w:rsidRDefault="00F364A8" w:rsidP="002C500F">
            <w:p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highlight w:val="green"/>
                <w:lang w:val="en-GB" w:eastAsia="zh-CN"/>
              </w:rPr>
              <w:t>Agreement:</w:t>
            </w:r>
          </w:p>
          <w:p w14:paraId="07166382" w14:textId="77777777" w:rsidR="00F364A8" w:rsidRPr="004D6DB7" w:rsidRDefault="00F364A8" w:rsidP="002C500F">
            <w:p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lang w:val="en-GB" w:eastAsia="zh-CN"/>
              </w:rPr>
              <w:t>The intra-carrier guard bands on a carrier can be semi-statically adjusted with an RB level granularity. The RAN4 minimum guard band requirements are used as the guard bands when no semi-static adjustment is applied.</w:t>
            </w:r>
          </w:p>
          <w:p w14:paraId="00F4336B" w14:textId="77777777" w:rsidR="00F364A8" w:rsidRPr="004D6DB7" w:rsidRDefault="00F364A8" w:rsidP="00DF7387">
            <w:pPr>
              <w:numPr>
                <w:ilvl w:val="0"/>
                <w:numId w:val="17"/>
              </w:num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lang w:val="en-GB" w:eastAsia="zh-CN"/>
              </w:rPr>
              <w:t>The guard bands adjustments do not affect the already agreed restrictions on PUCCH resource allocation.</w:t>
            </w:r>
          </w:p>
          <w:p w14:paraId="33654466" w14:textId="77777777" w:rsidR="00F364A8" w:rsidRPr="004D6DB7" w:rsidRDefault="00F364A8" w:rsidP="00DF7387">
            <w:pPr>
              <w:numPr>
                <w:ilvl w:val="0"/>
                <w:numId w:val="17"/>
              </w:numPr>
              <w:spacing w:after="0" w:line="240" w:lineRule="auto"/>
              <w:rPr>
                <w:rFonts w:ascii="Calibri" w:eastAsia="SimSun" w:hAnsi="Calibri" w:cs="Calibri"/>
                <w:color w:val="000000"/>
                <w:sz w:val="16"/>
                <w:szCs w:val="16"/>
                <w:lang w:eastAsia="zh-CN"/>
              </w:rPr>
            </w:pPr>
            <w:r w:rsidRPr="004D6DB7">
              <w:rPr>
                <w:rFonts w:ascii="Calibri" w:eastAsia="SimSun" w:hAnsi="Calibri" w:cs="Calibri"/>
                <w:color w:val="000000"/>
                <w:sz w:val="16"/>
                <w:szCs w:val="16"/>
                <w:lang w:val="en-GB" w:eastAsia="zh-CN"/>
              </w:rPr>
              <w:t>FFS: Whether and how to handle the case where the intra-carrier guard bands are part of a resource allocation</w:t>
            </w:r>
          </w:p>
        </w:tc>
        <w:tc>
          <w:tcPr>
            <w:tcW w:w="990" w:type="dxa"/>
            <w:tcBorders>
              <w:top w:val="single" w:sz="4" w:space="0" w:color="auto"/>
              <w:left w:val="single" w:sz="4" w:space="0" w:color="auto"/>
              <w:bottom w:val="single" w:sz="4" w:space="0" w:color="auto"/>
              <w:right w:val="single" w:sz="4" w:space="0" w:color="auto"/>
            </w:tcBorders>
            <w:vAlign w:val="bottom"/>
          </w:tcPr>
          <w:p w14:paraId="4EFDBD32" w14:textId="77777777" w:rsidR="00F364A8" w:rsidRPr="004D6DB7" w:rsidRDefault="00F364A8" w:rsidP="002C500F">
            <w:pPr>
              <w:spacing w:after="0" w:line="240" w:lineRule="auto"/>
              <w:rPr>
                <w:rFonts w:ascii="Calibri" w:eastAsia="SimSun" w:hAnsi="Calibri" w:cs="Calibri"/>
                <w:color w:val="000000"/>
                <w:sz w:val="16"/>
                <w:szCs w:val="16"/>
                <w:lang w:eastAsia="zh-CN"/>
              </w:rPr>
            </w:pPr>
          </w:p>
        </w:tc>
      </w:tr>
    </w:tbl>
    <w:p w14:paraId="5205B35D" w14:textId="3ABCE796" w:rsidR="00F364A8" w:rsidRDefault="00F364A8" w:rsidP="00F364A8">
      <w:pPr>
        <w:rPr>
          <w:lang w:val="en-GB" w:eastAsia="ja-JP"/>
        </w:rPr>
      </w:pPr>
    </w:p>
    <w:p w14:paraId="7C0D458A" w14:textId="05A850F4" w:rsidR="00F364A8" w:rsidRPr="00E757C6" w:rsidRDefault="00F364A8" w:rsidP="00F364A8">
      <w:pPr>
        <w:rPr>
          <w:rFonts w:ascii="Arial" w:hAnsi="Arial"/>
          <w:lang w:eastAsia="zh-CN"/>
        </w:rPr>
      </w:pPr>
      <w:r w:rsidRPr="00E757C6">
        <w:rPr>
          <w:rFonts w:ascii="Arial" w:hAnsi="Arial"/>
          <w:lang w:eastAsia="zh-CN"/>
        </w:rPr>
        <w:t xml:space="preserve">Furthermore, the following </w:t>
      </w:r>
      <w:r w:rsidR="00E757C6">
        <w:rPr>
          <w:rFonts w:ascii="Arial" w:hAnsi="Arial"/>
          <w:lang w:eastAsia="zh-CN"/>
        </w:rPr>
        <w:t>related text</w:t>
      </w:r>
      <w:r w:rsidRPr="00E757C6">
        <w:rPr>
          <w:rFonts w:ascii="Arial" w:hAnsi="Arial"/>
          <w:lang w:eastAsia="zh-CN"/>
        </w:rPr>
        <w:t xml:space="preserve"> has been include</w:t>
      </w:r>
      <w:r w:rsidR="00E757C6">
        <w:rPr>
          <w:rFonts w:ascii="Arial" w:hAnsi="Arial"/>
          <w:lang w:eastAsia="zh-CN"/>
        </w:rPr>
        <w:t>d</w:t>
      </w:r>
      <w:r w:rsidRPr="00E757C6">
        <w:rPr>
          <w:rFonts w:ascii="Arial" w:hAnsi="Arial"/>
          <w:lang w:eastAsia="zh-CN"/>
        </w:rPr>
        <w:t xml:space="preserve"> in the draft CR for 38.214:</w:t>
      </w:r>
    </w:p>
    <w:p w14:paraId="1B4E4E61" w14:textId="77777777" w:rsidR="00F364A8" w:rsidRPr="00F364A8" w:rsidRDefault="00F364A8" w:rsidP="00E757C6">
      <w:pPr>
        <w:spacing w:after="180" w:line="240" w:lineRule="auto"/>
        <w:ind w:left="567"/>
        <w:jc w:val="both"/>
        <w:rPr>
          <w:rFonts w:ascii="Times New Roman" w:eastAsia="Times New Roman" w:hAnsi="Times New Roman" w:cs="Times New Roman"/>
          <w:color w:val="000000"/>
          <w:sz w:val="20"/>
          <w:szCs w:val="20"/>
        </w:rPr>
      </w:pPr>
      <w:bookmarkStart w:id="6" w:name="_Hlk23783614"/>
      <w:r w:rsidRPr="00F364A8">
        <w:rPr>
          <w:rFonts w:ascii="Times New Roman" w:eastAsia="Times New Roman" w:hAnsi="Times New Roman" w:cs="Times New Roman"/>
          <w:color w:val="000000"/>
          <w:sz w:val="20"/>
          <w:szCs w:val="20"/>
        </w:rPr>
        <w:t xml:space="preserve">When the UE is configured to operate </w:t>
      </w:r>
      <w:r w:rsidRPr="00F364A8">
        <w:rPr>
          <w:rFonts w:ascii="Times New Roman" w:eastAsia="Times New Roman" w:hAnsi="Times New Roman" w:cs="Times New Roman"/>
          <w:sz w:val="20"/>
          <w:szCs w:val="20"/>
          <w:lang w:val="en-CA"/>
        </w:rPr>
        <w:t xml:space="preserve">with intra-cell guard-bands on a carrier, the UE </w:t>
      </w:r>
      <w:r w:rsidRPr="00F364A8">
        <w:rPr>
          <w:rFonts w:ascii="Times New Roman" w:eastAsia="Times New Roman" w:hAnsi="Times New Roman" w:cs="Times New Roman"/>
          <w:color w:val="000000"/>
          <w:sz w:val="20"/>
          <w:szCs w:val="20"/>
        </w:rPr>
        <w:t xml:space="preserve">determines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Sub>
        <m:r>
          <w:rPr>
            <w:rFonts w:ascii="Cambria Math" w:eastAsia="Times New Roman" w:hAnsi="Cambria Math" w:cs="Times New Roman"/>
            <w:color w:val="000000"/>
            <w:sz w:val="20"/>
            <w:szCs w:val="20"/>
          </w:rPr>
          <m:t xml:space="preserve"> </m:t>
        </m:r>
      </m:oMath>
      <w:r w:rsidRPr="00F364A8">
        <w:rPr>
          <w:rFonts w:ascii="Times New Roman" w:eastAsia="Times New Roman" w:hAnsi="Times New Roman" w:cs="Times New Roman"/>
          <w:color w:val="000000"/>
          <w:sz w:val="20"/>
          <w:szCs w:val="20"/>
        </w:rPr>
        <w:t xml:space="preserve">RB-sets on a carrier [FFS e.g. according to a Table or according to parameter </w:t>
      </w:r>
      <w:r w:rsidRPr="00F364A8">
        <w:rPr>
          <w:rFonts w:ascii="Times New Roman" w:eastAsia="Times New Roman" w:hAnsi="Times New Roman" w:cs="Times New Roman"/>
          <w:i/>
          <w:color w:val="000000"/>
          <w:sz w:val="20"/>
          <w:szCs w:val="20"/>
        </w:rPr>
        <w:t>intraCellGuardBand-r16</w:t>
      </w:r>
      <w:r w:rsidRPr="00F364A8">
        <w:rPr>
          <w:rFonts w:ascii="Times New Roman" w:eastAsia="Times New Roman" w:hAnsi="Times New Roman" w:cs="Times New Roman"/>
          <w:color w:val="000000"/>
          <w:sz w:val="20"/>
          <w:szCs w:val="20"/>
        </w:rPr>
        <w:t xml:space="preserve"> and </w:t>
      </w:r>
      <w:r w:rsidRPr="00F364A8">
        <w:rPr>
          <w:rFonts w:ascii="Times New Roman" w:eastAsia="Times New Roman" w:hAnsi="Times New Roman" w:cs="Times New Roman"/>
          <w:i/>
          <w:color w:val="000000"/>
          <w:sz w:val="20"/>
          <w:szCs w:val="20"/>
        </w:rPr>
        <w:t>RB-RangesPerCell-r16</w:t>
      </w:r>
      <w:r w:rsidRPr="00F364A8">
        <w:rPr>
          <w:rFonts w:ascii="Times New Roman" w:eastAsia="Times New Roman" w:hAnsi="Times New Roman" w:cs="Times New Roman"/>
          <w:color w:val="000000"/>
          <w:sz w:val="20"/>
          <w:szCs w:val="20"/>
        </w:rPr>
        <w:t xml:space="preserve"> ], where RB-sets are indexed </w:t>
      </w:r>
      <m:oMath>
        <m:r>
          <w:rPr>
            <w:rFonts w:ascii="Cambria Math" w:eastAsia="Times New Roman" w:hAnsi="Cambria Math" w:cs="Times New Roman"/>
            <w:color w:val="000000"/>
            <w:sz w:val="20"/>
            <w:szCs w:val="20"/>
          </w:rPr>
          <m:t>0≤</m:t>
        </m:r>
        <m:r>
          <w:rPr>
            <w:rFonts w:ascii="Cambria Math" w:eastAsia="Times New Roman" w:hAnsi="Cambria Math" w:cs="Times New Roman"/>
            <w:color w:val="000000"/>
            <w:sz w:val="20"/>
            <w:szCs w:val="20"/>
            <w:lang w:val="en-GB"/>
          </w:rPr>
          <m:t>s</m:t>
        </m:r>
        <m:r>
          <w:rPr>
            <w:rFonts w:ascii="Cambria Math" w:eastAsia="Times New Roman" w:hAnsi="Cambria Math" w:cs="Times New Roman"/>
            <w:color w:val="000000"/>
            <w:sz w:val="20"/>
            <w:szCs w:val="20"/>
          </w:rPr>
          <m:t>&lt;</m:t>
        </m:r>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Sub>
        <m:r>
          <w:rPr>
            <w:rFonts w:ascii="Cambria Math" w:eastAsia="Times New Roman" w:hAnsi="Cambria Math" w:cs="Times New Roman"/>
            <w:color w:val="000000"/>
            <w:sz w:val="20"/>
            <w:szCs w:val="20"/>
          </w:rPr>
          <m:t>-1</m:t>
        </m:r>
      </m:oMath>
      <w:r w:rsidRPr="00F364A8">
        <w:rPr>
          <w:rFonts w:ascii="Times New Roman" w:eastAsia="Times New Roman" w:hAnsi="Times New Roman" w:cs="Times New Roman"/>
          <w:color w:val="000000"/>
          <w:sz w:val="20"/>
          <w:szCs w:val="20"/>
        </w:rPr>
        <w:t xml:space="preserve">. </w:t>
      </w:r>
    </w:p>
    <w:p w14:paraId="2621A633" w14:textId="77777777" w:rsidR="00F364A8" w:rsidRPr="00F364A8" w:rsidRDefault="00F364A8" w:rsidP="00E757C6">
      <w:pPr>
        <w:spacing w:after="180" w:line="240" w:lineRule="auto"/>
        <w:ind w:left="567"/>
        <w:rPr>
          <w:rFonts w:ascii="Times New Roman" w:eastAsia="Times New Roman" w:hAnsi="Times New Roman" w:cs="Times New Roman"/>
          <w:color w:val="000000"/>
          <w:sz w:val="20"/>
          <w:szCs w:val="20"/>
          <w:lang w:val="en-GB"/>
        </w:rPr>
      </w:pPr>
      <w:r w:rsidRPr="00F364A8">
        <w:rPr>
          <w:rFonts w:ascii="Times New Roman" w:eastAsia="Times New Roman" w:hAnsi="Times New Roman" w:cs="Times New Roman"/>
          <w:color w:val="000000"/>
          <w:sz w:val="20"/>
          <w:szCs w:val="20"/>
        </w:rPr>
        <w:t>When the UE is configured with [</w:t>
      </w:r>
      <w:r w:rsidRPr="00F364A8">
        <w:rPr>
          <w:rFonts w:ascii="Times New Roman" w:eastAsia="Times New Roman" w:hAnsi="Times New Roman" w:cs="Times New Roman"/>
          <w:i/>
          <w:color w:val="000000"/>
          <w:sz w:val="20"/>
          <w:szCs w:val="20"/>
          <w:highlight w:val="yellow"/>
          <w:lang w:val="en-GB"/>
        </w:rPr>
        <w:t>FFS between intraCellGuardBand-r16 and RB-RangesPerCell-r16</w:t>
      </w:r>
      <w:r w:rsidRPr="00F364A8">
        <w:rPr>
          <w:rFonts w:ascii="Times New Roman" w:eastAsia="Times New Roman" w:hAnsi="Times New Roman" w:cs="Times New Roman"/>
          <w:color w:val="000000"/>
          <w:sz w:val="20"/>
          <w:szCs w:val="20"/>
          <w:lang w:val="en-GB"/>
        </w:rPr>
        <w:t xml:space="preserve">], a UE adjusts intra-cell guard-bands between RB-set </w:t>
      </w:r>
      <m:oMath>
        <m:r>
          <w:rPr>
            <w:rFonts w:ascii="Cambria Math" w:eastAsia="Times New Roman" w:hAnsi="Cambria Math" w:cs="Times New Roman"/>
            <w:color w:val="000000"/>
            <w:sz w:val="20"/>
            <w:szCs w:val="20"/>
            <w:lang w:val="en-GB"/>
          </w:rPr>
          <m:t>s</m:t>
        </m:r>
      </m:oMath>
      <w:r w:rsidRPr="00F364A8">
        <w:rPr>
          <w:rFonts w:ascii="Times New Roman" w:eastAsia="Times New Roman" w:hAnsi="Times New Roman" w:cs="Times New Roman"/>
          <w:color w:val="000000"/>
          <w:sz w:val="20"/>
          <w:szCs w:val="20"/>
          <w:lang w:val="en-GB"/>
        </w:rPr>
        <w:t xml:space="preserve"> and </w:t>
      </w:r>
      <m:oMath>
        <m:r>
          <w:rPr>
            <w:rFonts w:ascii="Cambria Math" w:eastAsia="Times New Roman" w:hAnsi="Cambria Math" w:cs="Times New Roman"/>
            <w:color w:val="000000"/>
            <w:sz w:val="20"/>
            <w:szCs w:val="20"/>
            <w:lang w:val="en-GB"/>
          </w:rPr>
          <m:t>s+1</m:t>
        </m:r>
      </m:oMath>
      <w:r w:rsidRPr="00F364A8">
        <w:rPr>
          <w:rFonts w:ascii="Times New Roman" w:eastAsia="Times New Roman" w:hAnsi="Times New Roman" w:cs="Times New Roman"/>
          <w:color w:val="000000"/>
          <w:sz w:val="20"/>
          <w:szCs w:val="20"/>
          <w:lang w:val="en-GB"/>
        </w:rPr>
        <w:t xml:space="preserve"> [TBD]. </w:t>
      </w:r>
    </w:p>
    <w:bookmarkEnd w:id="6"/>
    <w:p w14:paraId="6E44B4F8" w14:textId="77777777" w:rsidR="00DF7387" w:rsidRDefault="00F364A8" w:rsidP="00F364A8">
      <w:pPr>
        <w:pStyle w:val="BodyText"/>
      </w:pPr>
      <w:r>
        <w:t>The</w:t>
      </w:r>
      <w:r w:rsidR="008C2584" w:rsidRPr="008C2584">
        <w:t xml:space="preserve"> purpose of</w:t>
      </w:r>
      <w:r>
        <w:t xml:space="preserve"> </w:t>
      </w:r>
      <w:r w:rsidR="00E757C6">
        <w:t>introducing such a</w:t>
      </w:r>
      <w:r>
        <w:t xml:space="preserve"> parameter</w:t>
      </w:r>
      <w:r w:rsidR="008C2584" w:rsidRPr="008C2584">
        <w:t xml:space="preserve"> </w:t>
      </w:r>
      <w:r>
        <w:t xml:space="preserve">is to </w:t>
      </w:r>
      <w:r w:rsidR="00E757C6">
        <w:t>define</w:t>
      </w:r>
      <w:r w:rsidR="008C2584" w:rsidRPr="008C2584">
        <w:t xml:space="preserve"> the usable PRB ranges corresponding to the LBT bandwidth(s) within a carrier.</w:t>
      </w:r>
      <w:r w:rsidR="00E757C6">
        <w:t xml:space="preserve"> This is needed for the scheduling/configuration of resources</w:t>
      </w:r>
      <w:r w:rsidR="00DF7387">
        <w:t xml:space="preserve"> both in the DL and the UL</w:t>
      </w:r>
      <w:r w:rsidR="00E757C6">
        <w:t>.</w:t>
      </w:r>
    </w:p>
    <w:p w14:paraId="709986F4" w14:textId="2332497F" w:rsidR="00DF7387" w:rsidRDefault="00E757C6" w:rsidP="00F364A8">
      <w:pPr>
        <w:pStyle w:val="BodyText"/>
      </w:pPr>
      <w:r>
        <w:t xml:space="preserve">For example, in the UL for frequency domain resource allocation for PUSCH, it has been agreed that X bits in DCI indicate which interlaces are allocated. As we propose in our UL paper </w:t>
      </w:r>
      <w:r>
        <w:fldChar w:fldCharType="begin"/>
      </w:r>
      <w:r>
        <w:instrText xml:space="preserve"> REF _Ref16178072 \r \h </w:instrText>
      </w:r>
      <w:r>
        <w:fldChar w:fldCharType="separate"/>
      </w:r>
      <w:r w:rsidR="00DF7387">
        <w:t>[13]</w:t>
      </w:r>
      <w:r>
        <w:fldChar w:fldCharType="end"/>
      </w:r>
      <w:r w:rsidR="00DF7387">
        <w:t>, an additional Y-bit bitmap is used to indicate which LBT bandwidths are allocated. Each bit in the bitmap corresponds to an RB Set as specified in the 38.214 draft CR (see above). It is essential for the UE to be configured with a list of RB sets so that it knows precisely which PRBs to use and which to avoid (the intra-carrier guards) for transmission of PUSCH. While it would be equivalent to configure a list of guard bands with the PRB range for each guard band, in our view, it is simpler to configure a list of RB sets that indicate which RBs are available.</w:t>
      </w:r>
    </w:p>
    <w:p w14:paraId="54D49C95" w14:textId="54B5F206" w:rsidR="00CE4AAD" w:rsidRDefault="008C2584" w:rsidP="00CA0922">
      <w:pPr>
        <w:pStyle w:val="BodyText"/>
      </w:pPr>
      <w:r>
        <w:t>Hence, i</w:t>
      </w:r>
      <w:r w:rsidR="002C7C91" w:rsidRPr="008C2584">
        <w:t>n our view, the open issues are (</w:t>
      </w:r>
      <w:r w:rsidR="006F5DF6">
        <w:t>1</w:t>
      </w:r>
      <w:r w:rsidR="002C7C91" w:rsidRPr="008C2584">
        <w:t xml:space="preserve">) </w:t>
      </w:r>
      <w:proofErr w:type="gramStart"/>
      <w:r w:rsidR="002C7C91" w:rsidRPr="008C2584">
        <w:t>whether or not</w:t>
      </w:r>
      <w:proofErr w:type="gramEnd"/>
      <w:r w:rsidR="002C7C91" w:rsidRPr="008C2584">
        <w:t xml:space="preserve"> the </w:t>
      </w:r>
      <w:r w:rsidR="00DF7387">
        <w:t xml:space="preserve">RRC </w:t>
      </w:r>
      <w:r w:rsidR="002C7C91" w:rsidRPr="008C2584">
        <w:t>parameter is configured per cell or per BWP</w:t>
      </w:r>
      <w:r w:rsidR="006F5DF6">
        <w:t xml:space="preserve">, and </w:t>
      </w:r>
      <w:r w:rsidR="006F5DF6" w:rsidRPr="008C2584">
        <w:t>(</w:t>
      </w:r>
      <w:r w:rsidR="006F5DF6">
        <w:t>2</w:t>
      </w:r>
      <w:r w:rsidR="006F5DF6" w:rsidRPr="008C2584">
        <w:t xml:space="preserve">) how to specify the RB </w:t>
      </w:r>
      <w:r w:rsidR="00DF7387">
        <w:t>sets</w:t>
      </w:r>
      <w:r w:rsidR="006F5DF6">
        <w:t xml:space="preserve">, i.e., </w:t>
      </w:r>
      <w:r w:rsidR="006F5DF6" w:rsidRPr="008C2584">
        <w:t xml:space="preserve">whether </w:t>
      </w:r>
      <w:r w:rsidR="006F5DF6">
        <w:t xml:space="preserve">the RB indices are CRB indices or </w:t>
      </w:r>
      <w:r w:rsidR="006F5DF6" w:rsidRPr="008C2584">
        <w:t>PRB</w:t>
      </w:r>
      <w:r w:rsidR="006F5DF6">
        <w:t xml:space="preserve"> indices.</w:t>
      </w:r>
    </w:p>
    <w:p w14:paraId="53957E9E" w14:textId="358DD697" w:rsidR="00C562BC" w:rsidRDefault="002C7C91" w:rsidP="0044473E">
      <w:pPr>
        <w:pStyle w:val="BodyText"/>
      </w:pPr>
      <w:r w:rsidRPr="001F2F75">
        <w:t xml:space="preserve">Since the channel raster </w:t>
      </w:r>
      <w:r w:rsidR="00CE4AAD" w:rsidRPr="001F2F75">
        <w:t xml:space="preserve">for </w:t>
      </w:r>
      <w:r w:rsidRPr="001F2F75">
        <w:t>NR-U is most likely defined to align as close as possible to the 20/40/80 MHz Wi</w:t>
      </w:r>
      <w:r w:rsidR="00E1166A">
        <w:t>-</w:t>
      </w:r>
      <w:r w:rsidRPr="001F2F75">
        <w:t>Fi channel grids,</w:t>
      </w:r>
      <w:r w:rsidR="0044473E">
        <w:t xml:space="preserve"> the LBT sub-bands will also align with the </w:t>
      </w:r>
      <w:r w:rsidR="00E1166A">
        <w:t xml:space="preserve">Wi-Fi </w:t>
      </w:r>
      <w:r w:rsidR="0044473E">
        <w:t>grid</w:t>
      </w:r>
      <w:r w:rsidR="00E1166A">
        <w:t>s</w:t>
      </w:r>
      <w:r w:rsidR="00CE4AAD" w:rsidRPr="001F2F75">
        <w:t xml:space="preserve">. Hence, </w:t>
      </w:r>
      <w:r w:rsidR="00C562BC">
        <w:t xml:space="preserve">the </w:t>
      </w:r>
      <w:r w:rsidR="00DF7387">
        <w:t>LBT bandwidths</w:t>
      </w:r>
      <w:r w:rsidR="00C562BC">
        <w:t xml:space="preserve"> and associated </w:t>
      </w:r>
      <w:r w:rsidR="00DF7387">
        <w:t xml:space="preserve">intra-carrier </w:t>
      </w:r>
      <w:proofErr w:type="spellStart"/>
      <w:r w:rsidR="00C562BC">
        <w:t>guard</w:t>
      </w:r>
      <w:r w:rsidR="00DF7387">
        <w:t xml:space="preserve"> </w:t>
      </w:r>
      <w:r w:rsidR="00C562BC">
        <w:t>band</w:t>
      </w:r>
      <w:proofErr w:type="spellEnd"/>
      <w:r w:rsidR="00C562BC">
        <w:t>s</w:t>
      </w:r>
      <w:r w:rsidR="00CE4AAD" w:rsidRPr="001F2F75">
        <w:t xml:space="preserve"> are</w:t>
      </w:r>
      <w:r w:rsidR="00C562BC">
        <w:t xml:space="preserve"> inherently a</w:t>
      </w:r>
      <w:r w:rsidR="003F5257">
        <w:t xml:space="preserve"> property of the </w:t>
      </w:r>
      <w:r w:rsidR="00C562BC">
        <w:t xml:space="preserve">configured carrier and they maintain a </w:t>
      </w:r>
      <w:r w:rsidR="006F5DF6">
        <w:t xml:space="preserve">fixed </w:t>
      </w:r>
      <w:r w:rsidR="00C562BC">
        <w:t>relationship to Point A defined for that carrier. Whether or not the sub-bands are signaled per cell or per BWP can be further discussed; however, if signaled per BWP, the sub-band positions should remain fixed relative to Point A.</w:t>
      </w:r>
    </w:p>
    <w:p w14:paraId="555A1DE9" w14:textId="17E94C08" w:rsidR="00CE4AAD" w:rsidRPr="001F2F75" w:rsidRDefault="00CE4AAD" w:rsidP="0044473E">
      <w:pPr>
        <w:pStyle w:val="BodyText"/>
      </w:pPr>
      <w:r w:rsidRPr="001F2F75">
        <w:t>Two options for configuring an RB range corresponding to a sub-band are</w:t>
      </w:r>
      <w:r w:rsidR="00012480">
        <w:t xml:space="preserve"> the following, and in principle, either one would work fine:</w:t>
      </w:r>
    </w:p>
    <w:p w14:paraId="7A2B0F15" w14:textId="6E36F206" w:rsidR="00CE4AAD" w:rsidRDefault="00CE4AAD" w:rsidP="00DF7387">
      <w:pPr>
        <w:pStyle w:val="BodyText"/>
        <w:numPr>
          <w:ilvl w:val="0"/>
          <w:numId w:val="14"/>
        </w:numPr>
      </w:pPr>
      <w:r>
        <w:t>Start and end RB index</w:t>
      </w:r>
    </w:p>
    <w:p w14:paraId="5776E8DC" w14:textId="4CEFCF55" w:rsidR="00CE4AAD" w:rsidRDefault="00CE4AAD" w:rsidP="00DF7387">
      <w:pPr>
        <w:pStyle w:val="BodyText"/>
        <w:numPr>
          <w:ilvl w:val="0"/>
          <w:numId w:val="14"/>
        </w:numPr>
      </w:pPr>
      <w:r>
        <w:t xml:space="preserve">Start RB index and # of RBs </w:t>
      </w:r>
      <w:proofErr w:type="gramStart"/>
      <w:r>
        <w:t>similar to</w:t>
      </w:r>
      <w:proofErr w:type="gramEnd"/>
      <w:r>
        <w:t xml:space="preserve"> how a BWP is configured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start</m:t>
            </m:r>
          </m:sup>
        </m:sSubSup>
      </m:oMath>
      <w:r>
        <w:rPr>
          <w:rFonts w:eastAsiaTheme="minorEastAsia"/>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Theme="minorEastAsia"/>
        </w:rPr>
        <w:t>)</w:t>
      </w:r>
    </w:p>
    <w:p w14:paraId="5AC3B23D" w14:textId="7D260CF2" w:rsidR="00280AB5" w:rsidRPr="001F2F75" w:rsidRDefault="00C562BC" w:rsidP="00CA3BFA">
      <w:pPr>
        <w:pStyle w:val="Proposal"/>
      </w:pPr>
      <w:bookmarkStart w:id="7" w:name="_Ref21341504"/>
      <w:bookmarkStart w:id="8" w:name="_Hlk20768918"/>
      <w:bookmarkStart w:id="9" w:name="_Toc24147310"/>
      <w:r>
        <w:t xml:space="preserve">Support an </w:t>
      </w:r>
      <w:r w:rsidR="00CE4AAD" w:rsidRPr="001F2F75">
        <w:t xml:space="preserve">RRC parameter </w:t>
      </w:r>
      <w:r w:rsidR="00CE4AAD" w:rsidRPr="001F2F75">
        <w:rPr>
          <w:i/>
        </w:rPr>
        <w:t>RB-</w:t>
      </w:r>
      <w:r w:rsidR="00DF7387">
        <w:rPr>
          <w:i/>
        </w:rPr>
        <w:t>Sets</w:t>
      </w:r>
      <w:r w:rsidR="00CE4AAD" w:rsidRPr="001F2F75">
        <w:rPr>
          <w:i/>
        </w:rPr>
        <w:t>PerCell-r16</w:t>
      </w:r>
      <w:r w:rsidR="00CE4AAD" w:rsidRPr="001F2F75">
        <w:t xml:space="preserve"> used for defining the RB range</w:t>
      </w:r>
      <w:r w:rsidR="00280AB5" w:rsidRPr="001F2F75">
        <w:t xml:space="preserve">s for a carrier with multiple LBT </w:t>
      </w:r>
      <w:r w:rsidR="00A5777A" w:rsidRPr="001F2F75">
        <w:t>bandwidths</w:t>
      </w:r>
      <w:r w:rsidR="00280AB5" w:rsidRPr="001F2F75">
        <w:t xml:space="preserve">. Each RB </w:t>
      </w:r>
      <w:r w:rsidR="00DF7387">
        <w:t>Set</w:t>
      </w:r>
      <w:r w:rsidR="00280AB5" w:rsidRPr="001F2F75">
        <w:t xml:space="preserve"> is </w:t>
      </w:r>
      <w:r w:rsidR="00E1166A">
        <w:t xml:space="preserve">fixed </w:t>
      </w:r>
      <w:r w:rsidR="00280AB5" w:rsidRPr="001F2F75">
        <w:t>relative to Point A. The following two alternatives should be down-selected to one:</w:t>
      </w:r>
      <w:bookmarkEnd w:id="7"/>
      <w:bookmarkEnd w:id="9"/>
    </w:p>
    <w:p w14:paraId="7D387108" w14:textId="2593B2DF" w:rsidR="00280AB5" w:rsidRPr="001F2F75" w:rsidRDefault="00280AB5" w:rsidP="00DF7387">
      <w:pPr>
        <w:pStyle w:val="Proposal"/>
        <w:numPr>
          <w:ilvl w:val="0"/>
          <w:numId w:val="15"/>
        </w:numPr>
      </w:pPr>
      <w:bookmarkStart w:id="10" w:name="_Toc24147311"/>
      <w:r w:rsidRPr="001F2F75">
        <w:t xml:space="preserve">Alt-1: An RB </w:t>
      </w:r>
      <w:r w:rsidR="00DF7387">
        <w:t>Set</w:t>
      </w:r>
      <w:r w:rsidRPr="001F2F75">
        <w:t xml:space="preserve"> is specified by a start RB index and an end RB index</w:t>
      </w:r>
      <w:bookmarkEnd w:id="10"/>
    </w:p>
    <w:p w14:paraId="6863247D" w14:textId="3ED43D1A" w:rsidR="00280AB5" w:rsidRDefault="00280AB5" w:rsidP="00DF7387">
      <w:pPr>
        <w:pStyle w:val="Proposal"/>
        <w:numPr>
          <w:ilvl w:val="0"/>
          <w:numId w:val="15"/>
        </w:numPr>
      </w:pPr>
      <w:bookmarkStart w:id="11" w:name="_Toc24147312"/>
      <w:r>
        <w:t xml:space="preserve">Alt-2: An RB </w:t>
      </w:r>
      <w:r w:rsidR="00DF7387">
        <w:t>Set</w:t>
      </w:r>
      <w:r>
        <w:t xml:space="preserve"> is specified by a start RB index and </w:t>
      </w:r>
      <w:proofErr w:type="gramStart"/>
      <w:r>
        <w:t>a number of</w:t>
      </w:r>
      <w:proofErr w:type="gramEnd"/>
      <w:r>
        <w:t xml:space="preserve"> RBs</w:t>
      </w:r>
      <w:bookmarkEnd w:id="11"/>
    </w:p>
    <w:p w14:paraId="2D3508DE" w14:textId="5B3D4E45" w:rsidR="007A6687" w:rsidRPr="00DF7387" w:rsidRDefault="00280AB5" w:rsidP="00DF7387">
      <w:pPr>
        <w:pStyle w:val="Proposal"/>
        <w:numPr>
          <w:ilvl w:val="0"/>
          <w:numId w:val="0"/>
        </w:numPr>
        <w:ind w:left="1701"/>
      </w:pPr>
      <w:bookmarkStart w:id="12" w:name="_Toc24147313"/>
      <w:r w:rsidRPr="001F2F75">
        <w:t xml:space="preserve">For a carrier with </w:t>
      </w:r>
      <w:r w:rsidR="00A5777A" w:rsidRPr="001F2F75">
        <w:t xml:space="preserve">only </w:t>
      </w:r>
      <w:r w:rsidRPr="001F2F75">
        <w:t xml:space="preserve">one LBT </w:t>
      </w:r>
      <w:r w:rsidR="00A5777A" w:rsidRPr="001F2F75">
        <w:t>bandwidth,</w:t>
      </w:r>
      <w:r w:rsidRPr="001F2F75">
        <w:t xml:space="preserve"> </w:t>
      </w:r>
      <w:r w:rsidR="00A5777A" w:rsidRPr="001F2F75">
        <w:rPr>
          <w:i/>
        </w:rPr>
        <w:t>RB-</w:t>
      </w:r>
      <w:r w:rsidR="00DF7387">
        <w:rPr>
          <w:i/>
        </w:rPr>
        <w:t>SetsPerCell</w:t>
      </w:r>
      <w:r w:rsidR="00A5777A" w:rsidRPr="001F2F75">
        <w:rPr>
          <w:i/>
        </w:rPr>
        <w:t>-r16</w:t>
      </w:r>
      <w:r w:rsidR="00A5777A" w:rsidRPr="001F2F75">
        <w:t xml:space="preserve"> </w:t>
      </w:r>
      <w:r w:rsidRPr="001F2F75">
        <w:t xml:space="preserve">is not configured, in which case the RB </w:t>
      </w:r>
      <w:r w:rsidR="00DF7387">
        <w:t>Set</w:t>
      </w:r>
      <w:r w:rsidRPr="001F2F75">
        <w:t xml:space="preserve"> implicitly covers the whole carrier.</w:t>
      </w:r>
      <w:bookmarkEnd w:id="12"/>
      <w:r w:rsidR="007A6687" w:rsidRPr="007A6687">
        <w:rPr>
          <w:b w:val="0"/>
        </w:rPr>
        <w:t xml:space="preserve">                           </w:t>
      </w:r>
    </w:p>
    <w:bookmarkEnd w:id="8"/>
    <w:p w14:paraId="1FB17846" w14:textId="435CD6E4" w:rsidR="00DF7387" w:rsidRDefault="00DF7387" w:rsidP="00DF7387">
      <w:pPr>
        <w:pStyle w:val="Heading2"/>
      </w:pPr>
      <w:r>
        <w:t>2.</w:t>
      </w:r>
      <w:r>
        <w:t>4</w:t>
      </w:r>
      <w:r>
        <w:tab/>
        <w:t>PDCCH Search Space Configuration</w:t>
      </w:r>
    </w:p>
    <w:p w14:paraId="765FD770" w14:textId="77777777" w:rsidR="00DF7387" w:rsidRPr="001F2F75" w:rsidRDefault="00DF7387" w:rsidP="00DF7387">
      <w:pPr>
        <w:pStyle w:val="BodyText"/>
      </w:pPr>
      <w:r w:rsidRPr="001F2F75">
        <w:t>In RAN1#9</w:t>
      </w:r>
      <w:r>
        <w:t>8 and RAN1#98b</w:t>
      </w:r>
      <w:r w:rsidRPr="001F2F75">
        <w:t>, the following agreement</w:t>
      </w:r>
      <w:r>
        <w:t>s</w:t>
      </w:r>
      <w:r w:rsidRPr="001F2F75">
        <w:t xml:space="preserve"> was made on PDCCH configuration for DL wideband operation:</w:t>
      </w:r>
    </w:p>
    <w:p w14:paraId="55D8E4DD" w14:textId="77777777" w:rsidR="00DF7387" w:rsidRPr="001F2F75" w:rsidRDefault="00DF7387" w:rsidP="00DF7387">
      <w:pPr>
        <w:spacing w:after="0" w:line="257" w:lineRule="auto"/>
        <w:ind w:left="567"/>
        <w:contextualSpacing/>
        <w:jc w:val="both"/>
        <w:rPr>
          <w:rFonts w:ascii="Times" w:eastAsia="Batang" w:hAnsi="Times" w:cs="Times New Roman"/>
          <w:sz w:val="20"/>
          <w:szCs w:val="24"/>
          <w:lang w:eastAsia="x-none"/>
        </w:rPr>
      </w:pPr>
      <w:r w:rsidRPr="001F2F75">
        <w:rPr>
          <w:rFonts w:ascii="Times" w:eastAsia="Batang" w:hAnsi="Times" w:cs="Times New Roman"/>
          <w:sz w:val="20"/>
          <w:szCs w:val="24"/>
          <w:highlight w:val="green"/>
          <w:lang w:eastAsia="x-none"/>
        </w:rPr>
        <w:t>Agreement:</w:t>
      </w:r>
    </w:p>
    <w:p w14:paraId="7CD0D1D1" w14:textId="77777777" w:rsidR="00DF7387" w:rsidRPr="00927A8B" w:rsidRDefault="00DF7387" w:rsidP="00DF7387">
      <w:pPr>
        <w:spacing w:after="0" w:line="240" w:lineRule="auto"/>
        <w:ind w:left="567"/>
        <w:rPr>
          <w:rFonts w:ascii="Times" w:eastAsia="Batang" w:hAnsi="Times" w:cs="Times New Roman"/>
          <w:sz w:val="20"/>
          <w:szCs w:val="24"/>
          <w:lang w:val="en-GB" w:eastAsia="ko-KR"/>
        </w:rPr>
      </w:pPr>
      <w:r w:rsidRPr="00927A8B">
        <w:rPr>
          <w:rFonts w:ascii="Times" w:eastAsia="Batang" w:hAnsi="Times" w:cs="Times New Roman"/>
          <w:sz w:val="20"/>
          <w:szCs w:val="24"/>
          <w:lang w:val="en-GB" w:eastAsia="ko-KR"/>
        </w:rPr>
        <w:t xml:space="preserve">For CORESET configuration in a serving cell with carrier bandwidth greater than LBT bandwidth, </w:t>
      </w:r>
    </w:p>
    <w:p w14:paraId="720E2F77" w14:textId="77777777" w:rsidR="00DF7387" w:rsidRPr="00927A8B" w:rsidRDefault="00DF7387" w:rsidP="00DF7387">
      <w:pPr>
        <w:numPr>
          <w:ilvl w:val="0"/>
          <w:numId w:val="13"/>
        </w:numPr>
        <w:spacing w:after="0" w:line="256" w:lineRule="auto"/>
        <w:ind w:left="1287"/>
        <w:contextualSpacing/>
        <w:jc w:val="both"/>
        <w:rPr>
          <w:rFonts w:ascii="Times" w:eastAsia="Batang" w:hAnsi="Times" w:cs="Times New Roman"/>
          <w:sz w:val="20"/>
          <w:szCs w:val="24"/>
          <w:lang w:eastAsia="x-none"/>
        </w:rPr>
      </w:pPr>
      <w:r w:rsidRPr="00927A8B">
        <w:rPr>
          <w:rFonts w:ascii="Times" w:eastAsia="Batang" w:hAnsi="Times" w:cs="Times New Roman"/>
          <w:sz w:val="20"/>
          <w:szCs w:val="24"/>
          <w:lang w:eastAsia="x-none"/>
        </w:rPr>
        <w:t xml:space="preserve">For the case where a CORESET is confined within </w:t>
      </w:r>
      <w:proofErr w:type="gramStart"/>
      <w:r w:rsidRPr="00927A8B">
        <w:rPr>
          <w:rFonts w:ascii="Times" w:eastAsia="Batang" w:hAnsi="Times" w:cs="Times New Roman"/>
          <w:sz w:val="20"/>
          <w:szCs w:val="24"/>
          <w:lang w:eastAsia="x-none"/>
        </w:rPr>
        <w:t>a</w:t>
      </w:r>
      <w:proofErr w:type="gramEnd"/>
      <w:r w:rsidRPr="00927A8B">
        <w:rPr>
          <w:rFonts w:ascii="Times" w:eastAsia="Batang" w:hAnsi="Times" w:cs="Times New Roman"/>
          <w:sz w:val="20"/>
          <w:szCs w:val="24"/>
          <w:lang w:eastAsia="x-none"/>
        </w:rPr>
        <w:t xml:space="preserve"> LBT bandwidth, the search space set configuration </w:t>
      </w:r>
      <w:r w:rsidRPr="00927A8B">
        <w:rPr>
          <w:rFonts w:ascii="Times" w:eastAsia="Batang" w:hAnsi="Times" w:cs="Times New Roman"/>
          <w:sz w:val="20"/>
          <w:szCs w:val="24"/>
          <w:lang w:val="en-GB" w:eastAsia="x-none"/>
        </w:rPr>
        <w:t>associated with the CORESET can have multiple monitoring locations in the frequency domain (per LBT bandwidth)</w:t>
      </w:r>
    </w:p>
    <w:p w14:paraId="253FE1D7" w14:textId="77777777" w:rsidR="00DF7387" w:rsidRPr="00927A8B" w:rsidRDefault="00DF7387" w:rsidP="00DF7387">
      <w:pPr>
        <w:numPr>
          <w:ilvl w:val="1"/>
          <w:numId w:val="13"/>
        </w:numPr>
        <w:spacing w:after="0" w:line="256" w:lineRule="auto"/>
        <w:ind w:left="2007"/>
        <w:contextualSpacing/>
        <w:jc w:val="both"/>
        <w:rPr>
          <w:rFonts w:ascii="Times" w:eastAsia="Batang" w:hAnsi="Times" w:cs="Times New Roman"/>
          <w:sz w:val="20"/>
          <w:szCs w:val="24"/>
          <w:lang w:eastAsia="x-none"/>
        </w:rPr>
      </w:pPr>
      <w:r w:rsidRPr="00927A8B">
        <w:rPr>
          <w:rFonts w:ascii="Times" w:eastAsia="Batang" w:hAnsi="Times" w:cs="Times New Roman"/>
          <w:sz w:val="20"/>
          <w:szCs w:val="24"/>
          <w:lang w:eastAsia="x-none"/>
        </w:rPr>
        <w:t xml:space="preserve">Send </w:t>
      </w:r>
      <w:proofErr w:type="gramStart"/>
      <w:r w:rsidRPr="00927A8B">
        <w:rPr>
          <w:rFonts w:ascii="Times" w:eastAsia="Batang" w:hAnsi="Times" w:cs="Times New Roman"/>
          <w:sz w:val="20"/>
          <w:szCs w:val="24"/>
          <w:lang w:eastAsia="x-none"/>
        </w:rPr>
        <w:t>an</w:t>
      </w:r>
      <w:proofErr w:type="gramEnd"/>
      <w:r w:rsidRPr="00927A8B">
        <w:rPr>
          <w:rFonts w:ascii="Times" w:eastAsia="Batang" w:hAnsi="Times" w:cs="Times New Roman"/>
          <w:sz w:val="20"/>
          <w:szCs w:val="24"/>
          <w:lang w:eastAsia="x-none"/>
        </w:rPr>
        <w:t xml:space="preserve"> LS to RAN2 informing them of this agreement and providing clarifications on the above if necessary</w:t>
      </w:r>
    </w:p>
    <w:p w14:paraId="1EC7C774" w14:textId="77777777" w:rsidR="00DF7387" w:rsidRPr="004D6DB7" w:rsidRDefault="00DF7387" w:rsidP="00DF7387">
      <w:pPr>
        <w:numPr>
          <w:ilvl w:val="0"/>
          <w:numId w:val="13"/>
        </w:numPr>
        <w:spacing w:after="0" w:line="256" w:lineRule="auto"/>
        <w:ind w:left="1287"/>
        <w:contextualSpacing/>
        <w:jc w:val="both"/>
        <w:rPr>
          <w:rFonts w:ascii="Times" w:eastAsia="Batang" w:hAnsi="Times" w:cs="Times New Roman"/>
          <w:sz w:val="20"/>
          <w:szCs w:val="24"/>
          <w:lang w:eastAsia="x-none"/>
        </w:rPr>
      </w:pPr>
      <w:r w:rsidRPr="00927A8B">
        <w:rPr>
          <w:rFonts w:ascii="Times" w:eastAsia="Batang" w:hAnsi="Times" w:cs="Times New Roman"/>
          <w:sz w:val="20"/>
          <w:szCs w:val="24"/>
          <w:lang w:val="en-GB" w:eastAsia="x-none"/>
        </w:rPr>
        <w:t xml:space="preserve">Note: For scenarios in which </w:t>
      </w:r>
      <w:proofErr w:type="spellStart"/>
      <w:r w:rsidRPr="00927A8B">
        <w:rPr>
          <w:rFonts w:ascii="Times" w:eastAsia="Batang" w:hAnsi="Times" w:cs="Times New Roman"/>
          <w:sz w:val="20"/>
          <w:szCs w:val="24"/>
          <w:lang w:val="en-GB" w:eastAsia="x-none"/>
        </w:rPr>
        <w:t>gNB</w:t>
      </w:r>
      <w:proofErr w:type="spellEnd"/>
      <w:r w:rsidRPr="00927A8B">
        <w:rPr>
          <w:rFonts w:ascii="Times" w:eastAsia="Batang" w:hAnsi="Times" w:cs="Times New Roman"/>
          <w:sz w:val="20"/>
          <w:szCs w:val="24"/>
          <w:lang w:val="en-GB" w:eastAsia="x-none"/>
        </w:rPr>
        <w:t xml:space="preserve"> transmits PDCCH/PDSCH on a single BWP if CCA is successful at </w:t>
      </w:r>
      <w:proofErr w:type="spellStart"/>
      <w:r w:rsidRPr="00927A8B">
        <w:rPr>
          <w:rFonts w:ascii="Times" w:eastAsia="Batang" w:hAnsi="Times" w:cs="Times New Roman"/>
          <w:sz w:val="20"/>
          <w:szCs w:val="24"/>
          <w:lang w:val="en-GB" w:eastAsia="x-none"/>
        </w:rPr>
        <w:t>gNB</w:t>
      </w:r>
      <w:proofErr w:type="spellEnd"/>
      <w:r w:rsidRPr="00927A8B">
        <w:rPr>
          <w:rFonts w:ascii="Times" w:eastAsia="Batang" w:hAnsi="Times" w:cs="Times New Roman"/>
          <w:sz w:val="20"/>
          <w:szCs w:val="24"/>
          <w:lang w:val="en-GB" w:eastAsia="x-none"/>
        </w:rPr>
        <w:t xml:space="preserve"> for the whole BWP, CORESET(s) need not all be confined within an LBT bandwidth, and no specification impact is foreseen</w:t>
      </w:r>
    </w:p>
    <w:p w14:paraId="713B7884" w14:textId="77777777" w:rsidR="00DF7387" w:rsidRPr="001F2F75" w:rsidRDefault="00DF7387" w:rsidP="00DF7387">
      <w:pPr>
        <w:spacing w:after="0" w:line="256" w:lineRule="auto"/>
        <w:contextualSpacing/>
        <w:jc w:val="both"/>
        <w:rPr>
          <w:rFonts w:ascii="Times" w:eastAsia="Batang" w:hAnsi="Times" w:cs="Times New Roman"/>
          <w:sz w:val="20"/>
          <w:szCs w:val="24"/>
          <w:lang w:eastAsia="x-none"/>
        </w:rPr>
      </w:pPr>
    </w:p>
    <w:p w14:paraId="118B55D2" w14:textId="77777777" w:rsidR="00DF7387" w:rsidRPr="004D6DB7" w:rsidRDefault="00DF7387" w:rsidP="00DF7387">
      <w:pPr>
        <w:spacing w:after="0" w:line="240" w:lineRule="auto"/>
        <w:ind w:left="567"/>
        <w:rPr>
          <w:rFonts w:ascii="Times" w:eastAsia="Batang" w:hAnsi="Times" w:cs="Times New Roman"/>
          <w:sz w:val="20"/>
          <w:szCs w:val="24"/>
          <w:lang w:val="en-GB"/>
        </w:rPr>
      </w:pPr>
      <w:r w:rsidRPr="004D6DB7">
        <w:rPr>
          <w:rFonts w:ascii="Times" w:eastAsia="Batang" w:hAnsi="Times" w:cs="Times New Roman"/>
          <w:sz w:val="20"/>
          <w:szCs w:val="24"/>
          <w:highlight w:val="green"/>
          <w:lang w:val="en-GB"/>
        </w:rPr>
        <w:t>Agreement:</w:t>
      </w:r>
    </w:p>
    <w:p w14:paraId="29680220" w14:textId="77777777" w:rsidR="00DF7387" w:rsidRPr="004D6DB7" w:rsidRDefault="00DF7387" w:rsidP="00DF7387">
      <w:pPr>
        <w:spacing w:after="0" w:line="240" w:lineRule="auto"/>
        <w:ind w:left="567"/>
        <w:jc w:val="both"/>
        <w:rPr>
          <w:rFonts w:ascii="Times" w:eastAsia="Batang" w:hAnsi="Times" w:cs="Times New Roman"/>
          <w:sz w:val="20"/>
          <w:szCs w:val="24"/>
          <w:lang w:val="en-GB" w:eastAsia="x-none"/>
        </w:rPr>
      </w:pPr>
      <w:r w:rsidRPr="004D6DB7">
        <w:rPr>
          <w:rFonts w:ascii="Times" w:eastAsia="Batang" w:hAnsi="Times" w:cs="Times New Roman"/>
          <w:sz w:val="20"/>
          <w:szCs w:val="24"/>
          <w:lang w:val="en-GB" w:eastAsia="x-none"/>
        </w:rPr>
        <w:t>For a search space set configuration associated with multiple monitoring locations in the frequency domain (as per the previous agreement defining such a search space set associated with a CORESET confined within an LBT bandwidth):</w:t>
      </w:r>
    </w:p>
    <w:p w14:paraId="16265F3E" w14:textId="77777777" w:rsidR="00DF7387" w:rsidRPr="004D6DB7" w:rsidRDefault="00DF7387" w:rsidP="00DF7387">
      <w:pPr>
        <w:numPr>
          <w:ilvl w:val="0"/>
          <w:numId w:val="16"/>
        </w:numPr>
        <w:spacing w:after="0" w:line="240" w:lineRule="auto"/>
        <w:ind w:left="927"/>
        <w:rPr>
          <w:rFonts w:ascii="Times" w:eastAsia="Batang" w:hAnsi="Times" w:cs="Times New Roman"/>
          <w:sz w:val="20"/>
          <w:szCs w:val="24"/>
          <w:lang w:val="en-GB"/>
        </w:rPr>
      </w:pPr>
      <w:r w:rsidRPr="004D6DB7">
        <w:rPr>
          <w:rFonts w:ascii="Times" w:eastAsia="Batang" w:hAnsi="Times" w:cs="Times New Roman"/>
          <w:sz w:val="20"/>
          <w:szCs w:val="24"/>
          <w:lang w:val="en-GB"/>
        </w:rPr>
        <w:t xml:space="preserve">PRBs allocated by </w:t>
      </w:r>
      <w:proofErr w:type="spellStart"/>
      <w:r w:rsidRPr="004D6DB7">
        <w:rPr>
          <w:rFonts w:ascii="Times" w:eastAsia="Batang" w:hAnsi="Times" w:cs="Times New Roman"/>
          <w:i/>
          <w:sz w:val="20"/>
          <w:szCs w:val="24"/>
          <w:lang w:val="en-GB"/>
        </w:rPr>
        <w:t>frequencyDomainResources</w:t>
      </w:r>
      <w:proofErr w:type="spellEnd"/>
      <w:r w:rsidRPr="004D6DB7">
        <w:rPr>
          <w:rFonts w:ascii="Times" w:eastAsia="Batang" w:hAnsi="Times" w:cs="Times New Roman"/>
          <w:sz w:val="20"/>
          <w:szCs w:val="24"/>
          <w:lang w:val="en-GB"/>
        </w:rPr>
        <w:t xml:space="preserve"> in the CORESET configuration are confined within one of LBT bandwidths within the BWP corresponding to the CORESET.</w:t>
      </w:r>
    </w:p>
    <w:p w14:paraId="59208A4A" w14:textId="77777777" w:rsidR="00DF7387" w:rsidRPr="004D6DB7" w:rsidRDefault="00DF7387" w:rsidP="00DF7387">
      <w:pPr>
        <w:numPr>
          <w:ilvl w:val="0"/>
          <w:numId w:val="16"/>
        </w:numPr>
        <w:spacing w:after="0" w:line="240" w:lineRule="auto"/>
        <w:ind w:left="927"/>
        <w:rPr>
          <w:rFonts w:ascii="Times" w:eastAsia="Batang" w:hAnsi="Times" w:cs="Times New Roman"/>
          <w:sz w:val="20"/>
          <w:szCs w:val="24"/>
          <w:lang w:val="en-GB"/>
        </w:rPr>
      </w:pPr>
      <w:r w:rsidRPr="004D6DB7">
        <w:rPr>
          <w:rFonts w:ascii="Times" w:eastAsia="Batang" w:hAnsi="Times" w:cs="Times New Roman"/>
          <w:sz w:val="20"/>
          <w:szCs w:val="24"/>
          <w:lang w:val="en-GB"/>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50661EA2" w14:textId="77777777" w:rsidR="00DF7387" w:rsidRPr="004D6DB7" w:rsidRDefault="00DF7387" w:rsidP="00DF7387">
      <w:pPr>
        <w:numPr>
          <w:ilvl w:val="0"/>
          <w:numId w:val="18"/>
        </w:numPr>
        <w:spacing w:after="0" w:line="240" w:lineRule="auto"/>
        <w:ind w:left="1287"/>
        <w:rPr>
          <w:rFonts w:ascii="Times" w:eastAsia="Batang" w:hAnsi="Times" w:cs="Times New Roman"/>
          <w:sz w:val="20"/>
          <w:szCs w:val="24"/>
          <w:lang w:val="en-GB"/>
        </w:rPr>
      </w:pPr>
      <w:r w:rsidRPr="004D6DB7">
        <w:rPr>
          <w:rFonts w:ascii="Times" w:eastAsia="Batang" w:hAnsi="Times" w:cs="Times New Roman"/>
          <w:sz w:val="20"/>
          <w:szCs w:val="24"/>
          <w:lang w:val="en-GB"/>
        </w:rPr>
        <w:t xml:space="preserve">CORESET parameters other than frequency domain resource allocation pattern </w:t>
      </w:r>
      <w:proofErr w:type="gramStart"/>
      <w:r w:rsidRPr="004D6DB7">
        <w:rPr>
          <w:rFonts w:ascii="Times" w:eastAsia="Batang" w:hAnsi="Times" w:cs="Times New Roman"/>
          <w:sz w:val="20"/>
          <w:szCs w:val="24"/>
          <w:lang w:val="en-GB"/>
        </w:rPr>
        <w:t>are</w:t>
      </w:r>
      <w:proofErr w:type="gramEnd"/>
      <w:r w:rsidRPr="004D6DB7">
        <w:rPr>
          <w:rFonts w:ascii="Times" w:eastAsia="Batang" w:hAnsi="Times" w:cs="Times New Roman"/>
          <w:sz w:val="20"/>
          <w:szCs w:val="24"/>
          <w:lang w:val="en-GB"/>
        </w:rPr>
        <w:t xml:space="preserve"> identical for each of the one or more monitoring locations in the frequency domain.</w:t>
      </w:r>
    </w:p>
    <w:p w14:paraId="78B22050" w14:textId="77777777" w:rsidR="00DF7387" w:rsidRPr="004D6DB7" w:rsidRDefault="00DF7387" w:rsidP="00DF7387">
      <w:pPr>
        <w:numPr>
          <w:ilvl w:val="0"/>
          <w:numId w:val="16"/>
        </w:numPr>
        <w:spacing w:after="0" w:line="240" w:lineRule="auto"/>
        <w:ind w:left="927"/>
        <w:rPr>
          <w:rFonts w:ascii="Times" w:eastAsia="Batang" w:hAnsi="Times" w:cs="Times New Roman"/>
          <w:sz w:val="20"/>
          <w:szCs w:val="24"/>
          <w:lang w:val="en-GB"/>
        </w:rPr>
      </w:pPr>
      <w:r w:rsidRPr="004D6DB7">
        <w:rPr>
          <w:rFonts w:ascii="Times" w:eastAsia="Batang" w:hAnsi="Times" w:cs="Times New Roman"/>
          <w:sz w:val="20"/>
          <w:szCs w:val="24"/>
          <w:lang w:val="en-GB"/>
        </w:rPr>
        <w:t xml:space="preserve">Include this and the prior agreement on this issue in </w:t>
      </w:r>
      <w:proofErr w:type="gramStart"/>
      <w:r w:rsidRPr="004D6DB7">
        <w:rPr>
          <w:rFonts w:ascii="Times" w:eastAsia="Batang" w:hAnsi="Times" w:cs="Times New Roman"/>
          <w:sz w:val="20"/>
          <w:szCs w:val="24"/>
          <w:lang w:val="en-GB"/>
        </w:rPr>
        <w:t>an</w:t>
      </w:r>
      <w:proofErr w:type="gramEnd"/>
      <w:r w:rsidRPr="004D6DB7">
        <w:rPr>
          <w:rFonts w:ascii="Times" w:eastAsia="Batang" w:hAnsi="Times" w:cs="Times New Roman"/>
          <w:sz w:val="20"/>
          <w:szCs w:val="24"/>
          <w:lang w:val="en-GB"/>
        </w:rPr>
        <w:t xml:space="preserve"> LS to RAN2</w:t>
      </w:r>
    </w:p>
    <w:p w14:paraId="648E99BE" w14:textId="77777777" w:rsidR="00DF7387" w:rsidRPr="001F2F75" w:rsidRDefault="00DF7387" w:rsidP="00DF7387">
      <w:pPr>
        <w:pStyle w:val="BodyText"/>
      </w:pPr>
    </w:p>
    <w:p w14:paraId="4DACF174" w14:textId="77777777" w:rsidR="00DF7387" w:rsidRPr="001F2F75" w:rsidRDefault="00DF7387" w:rsidP="00DF7387">
      <w:pPr>
        <w:pStyle w:val="BodyText"/>
      </w:pPr>
      <w:r>
        <w:t>These</w:t>
      </w:r>
      <w:r w:rsidRPr="001F2F75">
        <w:t xml:space="preserve"> agreement</w:t>
      </w:r>
      <w:r>
        <w:t>s</w:t>
      </w:r>
      <w:r w:rsidRPr="001F2F75">
        <w:t xml:space="preserve"> impl</w:t>
      </w:r>
      <w:r>
        <w:t>y</w:t>
      </w:r>
      <w:r w:rsidRPr="001F2F75">
        <w:t xml:space="preserve"> that a single CORESET can be configured within one sub-band, and then the associated search space set(s) can be configured with multiple monitoring locations in the frequency domain (FD), where a monitoring location corresponds to a sub-band. The open issue is the details on how the frequency domain monitoring locations should be configured. Last meeting it was agreed to hold off on sending the LS to RAN2 until RAN1 worked out some more of these details.</w:t>
      </w:r>
    </w:p>
    <w:p w14:paraId="7EB7CA66" w14:textId="77777777" w:rsidR="00DF7387" w:rsidRPr="001F2F75" w:rsidRDefault="00DF7387" w:rsidP="00DF7387">
      <w:pPr>
        <w:pStyle w:val="BodyText"/>
      </w:pPr>
      <w:r w:rsidRPr="001F2F75">
        <w:t>In our view, it makes sense to reuse the Rel-15 “container” concept of a CORESET for the configuration of the FD monitoring locations. In Rel-15, we note that in the time domain (TD), a duration (number of OFDM symbols) is first defined within a CORESET. Then within an associated search space set configuration, the first OFDM symbol of potentially multiple TD monitoring locations within a slot is configured. Hence, the CORESET can be considered as a container that is replicated over multiple starting OFDM symbol locations within a slot to define the TD monitoring locations.</w:t>
      </w:r>
    </w:p>
    <w:p w14:paraId="6BDCB465" w14:textId="77777777" w:rsidR="00DF7387" w:rsidRPr="001F2F75" w:rsidRDefault="00DF7387" w:rsidP="00DF7387">
      <w:pPr>
        <w:pStyle w:val="BodyText"/>
      </w:pPr>
      <w:r>
        <w:t xml:space="preserve">Reusing this same concept, one could configure a CORESET with a number of PRBs that are confined within a sub-band. </w:t>
      </w:r>
      <w:r w:rsidRPr="001F2F75">
        <w:t>This is easily done using Rel-15 configuration of a PRB level bitmap. Then, within an associated search space set configuration, the first PRB of potentially multiple FD monitoring locations within a BWP is configured. The first PRB location can be configured simply via a PRB offset relative to the PRB position corresponding to the first bit in the PRB bitmap configured in the associated CORESET.</w:t>
      </w:r>
    </w:p>
    <w:p w14:paraId="0D0184F3" w14:textId="40976ABB" w:rsidR="00DF7387" w:rsidRPr="001F2F75" w:rsidRDefault="00DF7387" w:rsidP="00DF7387">
      <w:pPr>
        <w:pStyle w:val="BodyText"/>
      </w:pPr>
      <w:r>
        <w:fldChar w:fldCharType="begin"/>
      </w:r>
      <w:r>
        <w:instrText xml:space="preserve"> REF _Ref20746304 \h </w:instrText>
      </w:r>
      <w:r>
        <w:fldChar w:fldCharType="separate"/>
      </w:r>
      <w:r w:rsidRPr="001F2F75">
        <w:t xml:space="preserve">Figure </w:t>
      </w:r>
      <w:r>
        <w:rPr>
          <w:noProof/>
        </w:rPr>
        <w:t>1</w:t>
      </w:r>
      <w:r>
        <w:fldChar w:fldCharType="end"/>
      </w:r>
      <w:r>
        <w:t xml:space="preserve"> illustrates the concept for the example of an 80 MHz BWP consisting of 4 LBT sub-bands with integer PRB guards in between (30 kHz SCS is assumed). </w:t>
      </w:r>
      <w:r w:rsidRPr="001F2F75">
        <w:t xml:space="preserve">The starting CRB index of the BWP is denoted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start</m:t>
            </m:r>
          </m:sup>
        </m:sSubSup>
      </m:oMath>
      <w:r w:rsidRPr="001F2F75">
        <w:rPr>
          <w:rFonts w:eastAsiaTheme="minorEastAsia"/>
        </w:rPr>
        <w:t xml:space="preserve">. </w:t>
      </w:r>
      <w:r w:rsidRPr="001F2F75">
        <w:t xml:space="preserve">The guard size/locations shown in the diagram in red are discussed further in Section 3.4. In this diagram, the CORESET is configured with a bitmap indicating 8 CCEs in the frequency domain. The bitmap is configured by the parameter </w:t>
      </w:r>
      <w:proofErr w:type="spellStart"/>
      <w:r w:rsidRPr="001F2F75">
        <w:rPr>
          <w:i/>
        </w:rPr>
        <w:t>frequencyDomainReseources</w:t>
      </w:r>
      <w:proofErr w:type="spellEnd"/>
      <w:r w:rsidRPr="001F2F75">
        <w:t xml:space="preserve"> within a CORESET configuration. According to Rel-15, the starting CRB index of the first bit in the bitmap is constrained to be an integer multiple of 6, i.e., it starts at CRB index </w:t>
      </w:r>
      <m:oMath>
        <m:r>
          <w:rPr>
            <w:rFonts w:ascii="Cambria Math" w:hAnsi="Cambria Math"/>
          </w:rPr>
          <m:t>6</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start</m:t>
                    </m:r>
                  </m:sup>
                </m:sSubSup>
              </m:num>
              <m:den>
                <m:r>
                  <w:rPr>
                    <w:rFonts w:ascii="Cambria Math" w:hAnsi="Cambria Math"/>
                  </w:rPr>
                  <m:t>6</m:t>
                </m:r>
              </m:den>
            </m:f>
          </m:e>
        </m:d>
      </m:oMath>
      <w:r w:rsidRPr="001F2F75">
        <w:rPr>
          <w:rFonts w:eastAsiaTheme="minorEastAsia"/>
        </w:rPr>
        <w:t>.</w:t>
      </w:r>
    </w:p>
    <w:p w14:paraId="0E56144E" w14:textId="77777777" w:rsidR="00DF7387" w:rsidRPr="001F2F75" w:rsidRDefault="00DF7387" w:rsidP="00DF7387">
      <w:pPr>
        <w:pStyle w:val="BodyText"/>
      </w:pPr>
    </w:p>
    <w:p w14:paraId="1755A664" w14:textId="77777777" w:rsidR="00DF7387" w:rsidRDefault="00DF7387" w:rsidP="00DF7387">
      <w:pPr>
        <w:pStyle w:val="BodyText"/>
        <w:keepNext/>
      </w:pPr>
      <w:r>
        <w:rPr>
          <w:noProof/>
        </w:rPr>
        <w:drawing>
          <wp:inline distT="0" distB="0" distL="0" distR="0" wp14:anchorId="492E5A9A" wp14:editId="1256AD46">
            <wp:extent cx="5943600" cy="38221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822192"/>
                    </a:xfrm>
                    <a:prstGeom prst="rect">
                      <a:avLst/>
                    </a:prstGeom>
                    <a:noFill/>
                  </pic:spPr>
                </pic:pic>
              </a:graphicData>
            </a:graphic>
          </wp:inline>
        </w:drawing>
      </w:r>
    </w:p>
    <w:p w14:paraId="4BDD0AB1" w14:textId="0BEE030F" w:rsidR="00DF7387" w:rsidRPr="001F2F75" w:rsidRDefault="00DF7387" w:rsidP="00DF7387">
      <w:pPr>
        <w:pStyle w:val="Caption"/>
        <w:jc w:val="both"/>
      </w:pPr>
      <w:bookmarkStart w:id="13" w:name="_Ref20746304"/>
      <w:r w:rsidRPr="001F2F75">
        <w:t xml:space="preserve">Figure </w:t>
      </w:r>
      <w:r>
        <w:fldChar w:fldCharType="begin"/>
      </w:r>
      <w:r w:rsidRPr="001F2F75">
        <w:instrText xml:space="preserve"> SEQ Figure \* ARABIC </w:instrText>
      </w:r>
      <w:r>
        <w:fldChar w:fldCharType="separate"/>
      </w:r>
      <w:r>
        <w:rPr>
          <w:noProof/>
        </w:rPr>
        <w:t>1</w:t>
      </w:r>
      <w:r>
        <w:rPr>
          <w:noProof/>
        </w:rPr>
        <w:fldChar w:fldCharType="end"/>
      </w:r>
      <w:bookmarkEnd w:id="13"/>
      <w:r w:rsidRPr="001F2F75">
        <w:t>. Use of a PRB offset (not necessarily an integer multiple of 6 PRBs) to indicate the location of the first PRB of a frequency domain monitoring location within a search space set.</w:t>
      </w:r>
    </w:p>
    <w:p w14:paraId="79F00343" w14:textId="77777777" w:rsidR="00DF7387" w:rsidRPr="001F2F75" w:rsidRDefault="00DF7387" w:rsidP="00DF7387">
      <w:pPr>
        <w:pStyle w:val="BodyText"/>
      </w:pPr>
      <w:r w:rsidRPr="001F2F75">
        <w:t xml:space="preserve">For the case of a single symbol CORESET, if 8 CCEs in the frequency domain are configured within the first sub-band through the CORESET configuration, it is desirable that 8 CCEs </w:t>
      </w:r>
      <w:r>
        <w:t xml:space="preserve">in the frequency domain </w:t>
      </w:r>
      <w:r w:rsidRPr="001F2F75">
        <w:t>can also be configured in the other sub-bands through search space set configuration(s). This would allow aggregation level AL 8 in all sub-bands without exceeding the CCE budget (56 non-overlapping CCEs). In contrast, if the starting CRB index in all sub-bands was instead constrained to be an integer multiple of 6, it would not be possible in general to configure single symbol AL 8 for all sub-bands due to the size/position of the intra-carrier guards; some sub-bands would have fewer number of CCEs. This is discussed further below.</w:t>
      </w:r>
    </w:p>
    <w:p w14:paraId="07BA0ED0" w14:textId="77777777" w:rsidR="00DF7387" w:rsidRPr="001F2F75" w:rsidRDefault="00DF7387" w:rsidP="00DF7387">
      <w:pPr>
        <w:pStyle w:val="BodyText"/>
      </w:pPr>
      <w:r w:rsidRPr="001F2F75">
        <w:t xml:space="preserve">To remedy this situation, it </w:t>
      </w:r>
      <w:r>
        <w:t>should</w:t>
      </w:r>
      <w:r w:rsidRPr="001F2F75">
        <w:t xml:space="preserve"> be allowed to configure a PRB offset for each FD monitoring location within a search space set configuration to allow starting CRB indices that are not a multiple of 6. In this way, AL 8 in can be preserved in all sub-bands</w:t>
      </w:r>
      <w:r>
        <w:t xml:space="preserve"> (for the case of a single symbol CORESET)</w:t>
      </w:r>
      <w:r w:rsidRPr="001F2F75">
        <w:t>. We emphasize that this relaxation is only needed for the search space set configurations; the 6-PRB granularity for the starting CRB index within a CORESET can still be maintained as in Rel-15. Note that the above discussion is in the context of a single symbol CORESET. For a two-symbol CORESET, the relaxation may still be useful depending on if aggregation level larger than 8 is configured.</w:t>
      </w:r>
    </w:p>
    <w:p w14:paraId="07D70394" w14:textId="77777777" w:rsidR="00DF7387" w:rsidRPr="001F2F75" w:rsidRDefault="00DF7387" w:rsidP="00DF7387">
      <w:pPr>
        <w:pStyle w:val="BodyText"/>
      </w:pPr>
      <w:r w:rsidRPr="001F2F75">
        <w:t>Based on this we propose the following:</w:t>
      </w:r>
    </w:p>
    <w:p w14:paraId="5EB0F937" w14:textId="77777777" w:rsidR="00DF7387" w:rsidRDefault="00DF7387" w:rsidP="00DF7387">
      <w:pPr>
        <w:pStyle w:val="Proposal"/>
      </w:pPr>
      <w:bookmarkStart w:id="14" w:name="_Hlk20768859"/>
      <w:bookmarkStart w:id="15" w:name="_Toc24147314"/>
      <w:r>
        <w:t xml:space="preserve">A search space set associated with a CORESET can be configured with multiple non-overlapping frequency domain (FD) monitoring locations within a BWP, where an FD monitoring location is defined by a replication of the PRB pattern defined by the parameter </w:t>
      </w:r>
      <w:r w:rsidRPr="005D01F2">
        <w:rPr>
          <w:i/>
        </w:rPr>
        <w:t>frequencyDomainReseources</w:t>
      </w:r>
      <w:r>
        <w:t xml:space="preserve"> within </w:t>
      </w:r>
      <w:r w:rsidRPr="00445341">
        <w:rPr>
          <w:i/>
        </w:rPr>
        <w:t>ControlResourceSet</w:t>
      </w:r>
      <w:r>
        <w:t xml:space="preserve">. The starting PRB index of the replicated pattern is given by an integer PRB offset relative to the PRB index corresponding to the first bit in </w:t>
      </w:r>
      <w:r w:rsidRPr="005D01F2">
        <w:rPr>
          <w:i/>
        </w:rPr>
        <w:t>frequencyDomainReseources</w:t>
      </w:r>
      <w:r>
        <w:t>. The PRB offset may take a value in the range 0..</w:t>
      </w:r>
      <w:r w:rsidRPr="00A047D1">
        <w:t>maxNrofPhysicalResourceBlocks-1</w:t>
      </w:r>
      <w:r>
        <w:t>.</w:t>
      </w:r>
      <w:bookmarkEnd w:id="15"/>
      <w:r>
        <w:t xml:space="preserve"> </w:t>
      </w:r>
    </w:p>
    <w:p w14:paraId="46559284" w14:textId="77777777" w:rsidR="00DF7387" w:rsidRPr="001F2F75" w:rsidRDefault="00DF7387" w:rsidP="00DF7387">
      <w:pPr>
        <w:pStyle w:val="Proposal"/>
        <w:numPr>
          <w:ilvl w:val="2"/>
          <w:numId w:val="2"/>
        </w:numPr>
      </w:pPr>
      <w:bookmarkStart w:id="16" w:name="_Toc24147315"/>
      <w:r w:rsidRPr="001F2F75">
        <w:t>Note: if the no PRB offset(s) is/are configured, then the UE performs PDCCH monitoring in PRBs defined only by the CORESET as in Rel-15</w:t>
      </w:r>
      <w:bookmarkEnd w:id="16"/>
    </w:p>
    <w:bookmarkEnd w:id="14"/>
    <w:p w14:paraId="5BE29C21" w14:textId="77777777" w:rsidR="00DF7387" w:rsidRPr="001F2F75" w:rsidRDefault="00DF7387" w:rsidP="00DF7387">
      <w:pPr>
        <w:pStyle w:val="BodyText"/>
      </w:pPr>
    </w:p>
    <w:p w14:paraId="1F8C9773" w14:textId="77777777" w:rsidR="00DF7387" w:rsidRPr="001F2F75" w:rsidRDefault="00DF7387" w:rsidP="00DF7387">
      <w:pPr>
        <w:pStyle w:val="BodyText"/>
      </w:pPr>
      <w:r w:rsidRPr="001F2F75">
        <w:t>The following extract from 38.331 illustrates how the FD monitoring locations could be configured according to the above proposal:</w:t>
      </w:r>
    </w:p>
    <w:p w14:paraId="6F9ADB1C"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bookmarkStart w:id="17" w:name="_Hlk20860470"/>
      <w:r w:rsidRPr="00B4461B">
        <w:rPr>
          <w:rFonts w:ascii="Courier New" w:eastAsia="Times New Roman" w:hAnsi="Courier New" w:cs="Times New Roman"/>
          <w:noProof/>
          <w:sz w:val="12"/>
          <w:szCs w:val="20"/>
          <w:lang w:val="en-GB" w:eastAsia="en-GB"/>
        </w:rPr>
        <w:t>SearchSpace ::=                         SEQUENCE {</w:t>
      </w:r>
    </w:p>
    <w:p w14:paraId="22D4B430"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searchSpaceId                           SearchSpaceId,</w:t>
      </w:r>
    </w:p>
    <w:p w14:paraId="55116862"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controlResourceSetId                    ControlResourceSetId                                        OPTIONAL,   -- Cond SetupOnly</w:t>
      </w:r>
    </w:p>
    <w:p w14:paraId="17DE545E"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B4461B">
        <w:rPr>
          <w:rFonts w:ascii="Courier New" w:eastAsia="Times New Roman" w:hAnsi="Courier New" w:cs="Times New Roman"/>
          <w:noProof/>
          <w:sz w:val="12"/>
          <w:szCs w:val="20"/>
          <w:lang w:val="en-GB" w:eastAsia="en-GB"/>
        </w:rPr>
        <w:t xml:space="preserve">    </w:t>
      </w:r>
      <w:r w:rsidRPr="001F2F75">
        <w:rPr>
          <w:rFonts w:ascii="Courier New" w:eastAsia="Times New Roman" w:hAnsi="Courier New" w:cs="Times New Roman"/>
          <w:noProof/>
          <w:sz w:val="12"/>
          <w:szCs w:val="20"/>
          <w:lang w:eastAsia="en-GB"/>
        </w:rPr>
        <w:t>monitoringSlotPeriodicityAndOffset      CHOICE {</w:t>
      </w:r>
    </w:p>
    <w:p w14:paraId="475748AE"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sl1                                     NULL,</w:t>
      </w:r>
    </w:p>
    <w:p w14:paraId="7A8C0D54"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sl2                                     INTEGER (0..1),</w:t>
      </w:r>
    </w:p>
    <w:p w14:paraId="69E852B6"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sl4                                     INTEGER (0..3),</w:t>
      </w:r>
    </w:p>
    <w:p w14:paraId="10BA126C"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sl5                                     INTEGER (0..4),</w:t>
      </w:r>
    </w:p>
    <w:p w14:paraId="4D6167D7"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sl8                                     INTEGER (0..7),</w:t>
      </w:r>
    </w:p>
    <w:p w14:paraId="2CD97C32"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sl10                                    INTEGER (0..9),</w:t>
      </w:r>
    </w:p>
    <w:p w14:paraId="2E7E62E1"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sl16                                    INTEGER (0..15),</w:t>
      </w:r>
    </w:p>
    <w:p w14:paraId="41A42DFA"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sl20                                    INTEGER (0..19),</w:t>
      </w:r>
    </w:p>
    <w:p w14:paraId="52849A4C"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sl40                                    INTEGER (0..39),</w:t>
      </w:r>
    </w:p>
    <w:p w14:paraId="44204494"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sl80                                    INTEGER (0..79),</w:t>
      </w:r>
    </w:p>
    <w:p w14:paraId="24F3BBFB"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sl160                                   INTEGER (0..159),</w:t>
      </w:r>
    </w:p>
    <w:p w14:paraId="357F5A56"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sl320                                   INTEGER (0..319),</w:t>
      </w:r>
    </w:p>
    <w:p w14:paraId="71B95A06" w14:textId="77777777" w:rsidR="00DF7387" w:rsidRPr="001F2F75"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eastAsia="en-GB"/>
        </w:rPr>
      </w:pPr>
      <w:r w:rsidRPr="001F2F75">
        <w:rPr>
          <w:rFonts w:ascii="Courier New" w:eastAsia="Times New Roman" w:hAnsi="Courier New" w:cs="Times New Roman"/>
          <w:noProof/>
          <w:sz w:val="12"/>
          <w:szCs w:val="20"/>
          <w:lang w:eastAsia="en-GB"/>
        </w:rPr>
        <w:t xml:space="preserve">        sl640                                   INTEGER (0..639),</w:t>
      </w:r>
    </w:p>
    <w:p w14:paraId="6EBF8EA4"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1F2F75">
        <w:rPr>
          <w:rFonts w:ascii="Courier New" w:eastAsia="Times New Roman" w:hAnsi="Courier New" w:cs="Times New Roman"/>
          <w:noProof/>
          <w:sz w:val="12"/>
          <w:szCs w:val="20"/>
          <w:lang w:eastAsia="en-GB"/>
        </w:rPr>
        <w:t xml:space="preserve">        </w:t>
      </w:r>
      <w:r w:rsidRPr="00B4461B">
        <w:rPr>
          <w:rFonts w:ascii="Courier New" w:eastAsia="Times New Roman" w:hAnsi="Courier New" w:cs="Times New Roman"/>
          <w:noProof/>
          <w:sz w:val="12"/>
          <w:szCs w:val="20"/>
          <w:lang w:val="en-GB" w:eastAsia="en-GB"/>
        </w:rPr>
        <w:t>sl1280                                  INTEGER (0..1279),</w:t>
      </w:r>
    </w:p>
    <w:p w14:paraId="45D00A29"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sl2560                                  INTEGER (0..2559)</w:t>
      </w:r>
    </w:p>
    <w:p w14:paraId="5922A5FA"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                                                                                                   OPTIONAL,   -- Cond Setup</w:t>
      </w:r>
    </w:p>
    <w:p w14:paraId="214654EB"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duration                                INTEGER (2..2559)                                           OPTIONAL,   -- Need R</w:t>
      </w:r>
    </w:p>
    <w:p w14:paraId="223480D5" w14:textId="77777777" w:rsidR="00DF7387"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monitoringSymbolsWithinSlot             BIT STRING (SIZE (14))                                      OPTIONAL,   -- Cond Setup</w:t>
      </w:r>
    </w:p>
    <w:p w14:paraId="533F2D77"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Pr>
          <w:rFonts w:ascii="Courier New" w:eastAsia="Times New Roman" w:hAnsi="Courier New" w:cs="Times New Roman"/>
          <w:noProof/>
          <w:sz w:val="12"/>
          <w:szCs w:val="20"/>
          <w:lang w:val="en-GB" w:eastAsia="en-GB"/>
        </w:rPr>
        <w:t xml:space="preserve">    </w:t>
      </w:r>
      <w:r w:rsidRPr="00B4461B">
        <w:rPr>
          <w:rFonts w:ascii="Courier New" w:eastAsia="Times New Roman" w:hAnsi="Courier New" w:cs="Times New Roman"/>
          <w:noProof/>
          <w:color w:val="FF0000"/>
          <w:sz w:val="12"/>
          <w:szCs w:val="20"/>
          <w:lang w:val="en-GB" w:eastAsia="en-GB"/>
        </w:rPr>
        <w:t xml:space="preserve">frequencyDomainMonitoringLocations </w:t>
      </w:r>
      <w:r w:rsidRPr="00B4461B">
        <w:rPr>
          <w:rFonts w:ascii="Courier New" w:eastAsia="Times New Roman" w:hAnsi="Courier New" w:cs="Times New Roman"/>
          <w:noProof/>
          <w:color w:val="FF0000"/>
          <w:sz w:val="12"/>
          <w:szCs w:val="20"/>
          <w:lang w:val="en-GB" w:eastAsia="en-GB"/>
        </w:rPr>
        <w:tab/>
        <w:t xml:space="preserve"> SEQUENCE (SIZE (1..maxNrofOffsets)) OF FreqOffset,</w:t>
      </w:r>
      <w:r w:rsidRPr="00B4461B">
        <w:rPr>
          <w:rFonts w:ascii="Courier New" w:eastAsia="Times New Roman" w:hAnsi="Courier New" w:cs="Times New Roman"/>
          <w:noProof/>
          <w:color w:val="FF0000"/>
          <w:sz w:val="12"/>
          <w:szCs w:val="20"/>
          <w:lang w:val="en-GB" w:eastAsia="en-GB"/>
        </w:rPr>
        <w:tab/>
        <w:t xml:space="preserve">        OPTIONAL</w:t>
      </w:r>
      <w:r>
        <w:rPr>
          <w:rFonts w:ascii="Courier New" w:eastAsia="Times New Roman" w:hAnsi="Courier New" w:cs="Times New Roman"/>
          <w:noProof/>
          <w:color w:val="FF0000"/>
          <w:sz w:val="12"/>
          <w:szCs w:val="20"/>
          <w:lang w:val="en-GB" w:eastAsia="en-GB"/>
        </w:rPr>
        <w:t>,</w:t>
      </w:r>
    </w:p>
    <w:p w14:paraId="39C01003"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nrofCandidates                          SEQUENCE {</w:t>
      </w:r>
    </w:p>
    <w:p w14:paraId="18331E81"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aggregationLevel1                       ENUMERATED {n0, n1, n2, n3, n4, n5, n6, n8},</w:t>
      </w:r>
    </w:p>
    <w:p w14:paraId="7C26056A"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aggregationLevel2                       ENUMERATED {n0, n1, n2, n3, n4, n5, n6, n8},</w:t>
      </w:r>
    </w:p>
    <w:p w14:paraId="59AAA972"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aggregationLevel4                       ENUMERATED {n0, n1, n2, n3, n4, n5, n6, n8},</w:t>
      </w:r>
    </w:p>
    <w:p w14:paraId="033350A9"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aggregationLevel8                       ENUMERATED {n0, n1, n2, n3, n4, n5, n6, n8},</w:t>
      </w:r>
    </w:p>
    <w:p w14:paraId="62AA197E"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aggregationLevel16                      ENUMERATED {n0, n1, n2, n3, n4, n5, n6, n8}</w:t>
      </w:r>
    </w:p>
    <w:p w14:paraId="32A0D629"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                                                                                                   OPTIONAL,   -- Cond Setup</w:t>
      </w:r>
    </w:p>
    <w:p w14:paraId="5F44B623"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 xml:space="preserve">    searchSpaceType                         CHOICE {</w:t>
      </w:r>
    </w:p>
    <w:p w14:paraId="6A0C5559" w14:textId="77777777" w:rsidR="00DF7387"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p>
    <w:p w14:paraId="7633221A"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Pr>
          <w:rFonts w:ascii="Courier New" w:eastAsia="Times New Roman" w:hAnsi="Courier New" w:cs="Times New Roman"/>
          <w:noProof/>
          <w:sz w:val="12"/>
          <w:szCs w:val="20"/>
          <w:lang w:val="en-GB" w:eastAsia="en-GB"/>
        </w:rPr>
        <w:t>…</w:t>
      </w:r>
    </w:p>
    <w:p w14:paraId="22B0396E"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p>
    <w:p w14:paraId="5D97FFB6" w14:textId="77777777" w:rsidR="00DF7387"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2"/>
          <w:szCs w:val="20"/>
          <w:lang w:val="en-GB" w:eastAsia="en-GB"/>
        </w:rPr>
      </w:pPr>
      <w:r w:rsidRPr="00B4461B">
        <w:rPr>
          <w:rFonts w:ascii="Courier New" w:eastAsia="Times New Roman" w:hAnsi="Courier New" w:cs="Times New Roman"/>
          <w:noProof/>
          <w:sz w:val="12"/>
          <w:szCs w:val="20"/>
          <w:lang w:val="en-GB" w:eastAsia="en-GB"/>
        </w:rPr>
        <w:t>}</w:t>
      </w:r>
    </w:p>
    <w:p w14:paraId="2B39BF49" w14:textId="77777777" w:rsidR="00DF7387" w:rsidRPr="00B4461B" w:rsidRDefault="00DF7387" w:rsidP="00DF7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2"/>
          <w:szCs w:val="20"/>
          <w:lang w:eastAsia="en-GB"/>
        </w:rPr>
      </w:pPr>
      <w:r w:rsidRPr="00B4461B">
        <w:rPr>
          <w:rFonts w:ascii="Courier New" w:eastAsia="Times New Roman" w:hAnsi="Courier New" w:cs="Times New Roman"/>
          <w:noProof/>
          <w:color w:val="FF0000"/>
          <w:sz w:val="12"/>
          <w:szCs w:val="20"/>
          <w:lang w:val="en-GB" w:eastAsia="en-GB"/>
        </w:rPr>
        <w:t xml:space="preserve">FreqOffset ::=                             </w:t>
      </w:r>
      <w:r>
        <w:rPr>
          <w:rFonts w:ascii="Courier New" w:eastAsia="Times New Roman" w:hAnsi="Courier New" w:cs="Times New Roman"/>
          <w:noProof/>
          <w:color w:val="FF0000"/>
          <w:sz w:val="12"/>
          <w:szCs w:val="20"/>
          <w:lang w:val="en-GB" w:eastAsia="en-GB"/>
        </w:rPr>
        <w:t xml:space="preserve"> </w:t>
      </w:r>
      <w:r w:rsidRPr="00B4461B">
        <w:rPr>
          <w:rFonts w:ascii="Courier New" w:eastAsia="Times New Roman" w:hAnsi="Courier New" w:cs="Times New Roman"/>
          <w:noProof/>
          <w:color w:val="FF0000"/>
          <w:sz w:val="12"/>
          <w:szCs w:val="20"/>
          <w:lang w:val="en-GB" w:eastAsia="en-GB"/>
        </w:rPr>
        <w:t>INTEGER (</w:t>
      </w:r>
      <w:r w:rsidRPr="00B4461B">
        <w:rPr>
          <w:rFonts w:ascii="Courier New" w:eastAsia="Times New Roman" w:hAnsi="Courier New" w:cs="Courier New"/>
          <w:noProof/>
          <w:color w:val="FF0000"/>
          <w:sz w:val="12"/>
          <w:szCs w:val="16"/>
          <w:lang w:val="en-GB" w:eastAsia="en-GB"/>
        </w:rPr>
        <w:t>0..</w:t>
      </w:r>
      <w:r w:rsidRPr="007F74F0">
        <w:rPr>
          <w:rFonts w:ascii="Courier New" w:hAnsi="Courier New" w:cs="Courier New"/>
          <w:color w:val="FF0000"/>
          <w:sz w:val="12"/>
          <w:szCs w:val="16"/>
        </w:rPr>
        <w:t xml:space="preserve"> maxNrofPhysicalResourceBlocks-</w:t>
      </w:r>
      <w:r>
        <w:rPr>
          <w:rFonts w:ascii="Courier New" w:hAnsi="Courier New" w:cs="Courier New"/>
          <w:color w:val="FF0000"/>
          <w:sz w:val="12"/>
          <w:szCs w:val="16"/>
        </w:rPr>
        <w:t>1)</w:t>
      </w:r>
    </w:p>
    <w:bookmarkEnd w:id="17"/>
    <w:p w14:paraId="616C2903" w14:textId="77777777" w:rsidR="00DF7387" w:rsidRDefault="00DF7387" w:rsidP="00DF7387">
      <w:pPr>
        <w:pStyle w:val="BodyText"/>
      </w:pPr>
    </w:p>
    <w:p w14:paraId="0D6E3B99" w14:textId="77777777" w:rsidR="00DF7387" w:rsidRDefault="00DF7387" w:rsidP="00DF7387">
      <w:pPr>
        <w:pStyle w:val="BodyText"/>
      </w:pPr>
      <w:r>
        <w:t xml:space="preserve">Another </w:t>
      </w:r>
      <w:proofErr w:type="gramStart"/>
      <w:r>
        <w:t>options</w:t>
      </w:r>
      <w:proofErr w:type="gramEnd"/>
      <w:r>
        <w:t xml:space="preserve"> is that </w:t>
      </w:r>
      <w:r w:rsidRPr="004F7147">
        <w:rPr>
          <w:rFonts w:ascii="Courier New" w:eastAsia="Times New Roman" w:hAnsi="Courier New" w:cs="Times New Roman"/>
          <w:noProof/>
          <w:sz w:val="20"/>
          <w:szCs w:val="20"/>
          <w:lang w:val="en-GB" w:eastAsia="en-GB"/>
        </w:rPr>
        <w:t>FreqOffset</w:t>
      </w:r>
      <w:r>
        <w:rPr>
          <w:rFonts w:ascii="Courier New" w:eastAsia="Times New Roman" w:hAnsi="Courier New" w:cs="Times New Roman"/>
          <w:noProof/>
          <w:sz w:val="20"/>
          <w:szCs w:val="20"/>
          <w:lang w:val="en-GB" w:eastAsia="en-GB"/>
        </w:rPr>
        <w:t xml:space="preserve"> </w:t>
      </w:r>
      <w:r>
        <w:t>could be configured in terms of a separate RRC parameter that specifies the usable RB range for each LBT bandwidth (see discussion in Section 3.3).</w:t>
      </w:r>
    </w:p>
    <w:p w14:paraId="58F11873" w14:textId="7C4BD649" w:rsidR="00DF7387" w:rsidRPr="001F2F75" w:rsidRDefault="00DF7387" w:rsidP="00DF7387">
      <w:pPr>
        <w:pStyle w:val="BodyText"/>
      </w:pPr>
      <w:r>
        <w:t xml:space="preserve">Finally, to show the consequence of not allowing the frequency offset to have configured granularity of 1 PRB (i.e., if it was constrained to be integer multiples of 6 PRBs) the following table shows how many CCEs per OFDM symbol could be configured for each sub-band according to the example in </w:t>
      </w:r>
      <w:r>
        <w:fldChar w:fldCharType="begin"/>
      </w:r>
      <w:r>
        <w:instrText xml:space="preserve"> REF _Ref20746304 \h </w:instrText>
      </w:r>
      <w:r>
        <w:fldChar w:fldCharType="separate"/>
      </w:r>
      <w:r w:rsidRPr="001F2F75">
        <w:t xml:space="preserve">Figure </w:t>
      </w:r>
      <w:r>
        <w:rPr>
          <w:noProof/>
        </w:rPr>
        <w:t>1</w:t>
      </w:r>
      <w:r>
        <w:fldChar w:fldCharType="end"/>
      </w:r>
      <w:r>
        <w:t xml:space="preserve">. </w:t>
      </w:r>
      <w:r w:rsidRPr="001F2F75">
        <w:t xml:space="preserve">Here 6 different values of the CRB start index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start</m:t>
            </m:r>
          </m:sup>
        </m:sSubSup>
      </m:oMath>
      <w:r w:rsidRPr="001F2F75">
        <w:rPr>
          <w:rFonts w:eastAsiaTheme="minorEastAsia"/>
        </w:rPr>
        <w:t xml:space="preserve"> </w:t>
      </w:r>
      <w:r w:rsidRPr="001F2F75">
        <w:t xml:space="preserve">are shown which result in different shifts in the CRB index of the first CCE in the sub-band. Clearly, it is not possible to choose Point A (and thus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start</m:t>
            </m:r>
          </m:sup>
        </m:sSubSup>
      </m:oMath>
      <w:r w:rsidRPr="001F2F75">
        <w:rPr>
          <w:rFonts w:eastAsiaTheme="minorEastAsia"/>
        </w:rPr>
        <w:t>) such that all sub-bands have 8 CCEs</w:t>
      </w:r>
      <w:r>
        <w:rPr>
          <w:rFonts w:eastAsiaTheme="minorEastAsia"/>
        </w:rPr>
        <w:t xml:space="preserve"> per OFDM symbol</w:t>
      </w:r>
    </w:p>
    <w:p w14:paraId="3443D2A3" w14:textId="14B14AFA" w:rsidR="00DF7387" w:rsidRPr="001F2F75" w:rsidRDefault="00DF7387" w:rsidP="00DF7387">
      <w:pPr>
        <w:pStyle w:val="Caption"/>
        <w:keepNext/>
        <w:jc w:val="center"/>
      </w:pPr>
      <w:r w:rsidRPr="001F2F75">
        <w:t xml:space="preserve">Table </w:t>
      </w:r>
      <w:r>
        <w:fldChar w:fldCharType="begin"/>
      </w:r>
      <w:r w:rsidRPr="001F2F75">
        <w:instrText xml:space="preserve"> SEQ Table \* ARABIC </w:instrText>
      </w:r>
      <w:r>
        <w:fldChar w:fldCharType="separate"/>
      </w:r>
      <w:r>
        <w:rPr>
          <w:noProof/>
        </w:rPr>
        <w:t>1</w:t>
      </w:r>
      <w:r>
        <w:rPr>
          <w:noProof/>
        </w:rPr>
        <w:fldChar w:fldCharType="end"/>
      </w:r>
      <w:r w:rsidRPr="001F2F75">
        <w:t xml:space="preserve">: Number of CCEs </w:t>
      </w:r>
      <w:r>
        <w:t xml:space="preserve">per OFDM symbol </w:t>
      </w:r>
      <w:r w:rsidRPr="001F2F75">
        <w:t>that could be configured per sub-band if the frequency domain monitoring location in each sub-band was constrained to always start on 6-CRB boundaries.</w:t>
      </w:r>
    </w:p>
    <w:p w14:paraId="28F48F68" w14:textId="77777777" w:rsidR="00DF7387" w:rsidRDefault="00DF7387" w:rsidP="00DF7387">
      <w:pPr>
        <w:pStyle w:val="BodyText"/>
        <w:jc w:val="center"/>
      </w:pPr>
      <w:r>
        <w:rPr>
          <w:noProof/>
        </w:rPr>
        <w:drawing>
          <wp:inline distT="0" distB="0" distL="0" distR="0" wp14:anchorId="22421C6A" wp14:editId="5D48DB02">
            <wp:extent cx="2286000" cy="1700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0" cy="1700784"/>
                    </a:xfrm>
                    <a:prstGeom prst="rect">
                      <a:avLst/>
                    </a:prstGeom>
                    <a:noFill/>
                  </pic:spPr>
                </pic:pic>
              </a:graphicData>
            </a:graphic>
          </wp:inline>
        </w:drawing>
      </w:r>
    </w:p>
    <w:p w14:paraId="269573C7" w14:textId="55413C27" w:rsidR="00C01F33" w:rsidRPr="00CE0424" w:rsidRDefault="00C01F33" w:rsidP="004A3521">
      <w:pPr>
        <w:pStyle w:val="Heading1"/>
      </w:pPr>
      <w:r w:rsidRPr="00CE0424">
        <w:t>Conclusion</w:t>
      </w:r>
    </w:p>
    <w:p w14:paraId="4E87633F" w14:textId="6CE311B1" w:rsidR="008E065E" w:rsidRPr="001F2F75" w:rsidRDefault="008E065E" w:rsidP="008E065E">
      <w:pPr>
        <w:pStyle w:val="BodyText"/>
        <w:rPr>
          <w:b/>
          <w:bCs/>
        </w:rPr>
      </w:pPr>
      <w:r w:rsidRPr="001F2F75">
        <w:t xml:space="preserve">In </w:t>
      </w:r>
      <w:r w:rsidR="00F75255" w:rsidRPr="001F2F75">
        <w:t>this paper</w:t>
      </w:r>
      <w:r w:rsidRPr="001F2F75">
        <w:t xml:space="preserve"> we made the following observations:</w:t>
      </w:r>
      <w:r w:rsidR="00C93814" w:rsidRPr="001F2F75">
        <w:rPr>
          <w:b/>
          <w:bCs/>
        </w:rPr>
        <w:t xml:space="preserve"> </w:t>
      </w:r>
    </w:p>
    <w:p w14:paraId="3269CD9E" w14:textId="77777777" w:rsidR="00DF7387" w:rsidRDefault="006F6582">
      <w:pPr>
        <w:pStyle w:val="TableofFigures"/>
        <w:tabs>
          <w:tab w:val="right" w:leader="dot" w:pos="9629"/>
        </w:tabs>
        <w:rPr>
          <w:rFonts w:asciiTheme="minorHAnsi" w:eastAsiaTheme="minorEastAsia" w:hAnsiTheme="minorHAnsi"/>
          <w:b w:val="0"/>
          <w:noProof/>
          <w:lang w:eastAsia="en-US"/>
        </w:rPr>
      </w:pPr>
      <w:r>
        <w:rPr>
          <w:bCs/>
        </w:rPr>
        <w:fldChar w:fldCharType="begin"/>
      </w:r>
      <w:r>
        <w:rPr>
          <w:bCs/>
        </w:rPr>
        <w:instrText xml:space="preserve"> TOC \f O \n \h \z \t "Observation" \c </w:instrText>
      </w:r>
      <w:r>
        <w:rPr>
          <w:bCs/>
        </w:rPr>
        <w:fldChar w:fldCharType="separate"/>
      </w:r>
      <w:hyperlink w:anchor="_Toc24147360" w:history="1">
        <w:r w:rsidR="00DF7387" w:rsidRPr="000528A2">
          <w:rPr>
            <w:rStyle w:val="Hyperlink"/>
            <w:noProof/>
          </w:rPr>
          <w:t>Observation 1</w:t>
        </w:r>
        <w:r w:rsidR="00DF7387">
          <w:rPr>
            <w:rFonts w:asciiTheme="minorHAnsi" w:eastAsiaTheme="minorEastAsia" w:hAnsiTheme="minorHAnsi"/>
            <w:b w:val="0"/>
            <w:noProof/>
            <w:lang w:eastAsia="en-US"/>
          </w:rPr>
          <w:tab/>
        </w:r>
        <w:r w:rsidR="00DF7387" w:rsidRPr="000528A2">
          <w:rPr>
            <w:rStyle w:val="Hyperlink"/>
            <w:noProof/>
          </w:rPr>
          <w:t>No further work is needed in the Wideband Agenda item for wideband operation in the uplink.</w:t>
        </w:r>
      </w:hyperlink>
    </w:p>
    <w:p w14:paraId="2001F7B3" w14:textId="77777777" w:rsidR="00DF7387" w:rsidRDefault="00DF7387">
      <w:pPr>
        <w:pStyle w:val="TableofFigures"/>
        <w:tabs>
          <w:tab w:val="right" w:leader="dot" w:pos="9629"/>
        </w:tabs>
        <w:rPr>
          <w:rFonts w:asciiTheme="minorHAnsi" w:eastAsiaTheme="minorEastAsia" w:hAnsiTheme="minorHAnsi"/>
          <w:b w:val="0"/>
          <w:noProof/>
          <w:lang w:eastAsia="en-US"/>
        </w:rPr>
      </w:pPr>
      <w:hyperlink w:anchor="_Toc24147361" w:history="1">
        <w:r w:rsidRPr="000528A2">
          <w:rPr>
            <w:rStyle w:val="Hyperlink"/>
            <w:noProof/>
          </w:rPr>
          <w:t>Observation 2</w:t>
        </w:r>
        <w:r>
          <w:rPr>
            <w:rFonts w:asciiTheme="minorHAnsi" w:eastAsiaTheme="minorEastAsia" w:hAnsiTheme="minorHAnsi"/>
            <w:b w:val="0"/>
            <w:noProof/>
            <w:lang w:eastAsia="en-US"/>
          </w:rPr>
          <w:tab/>
        </w:r>
        <w:r w:rsidRPr="000528A2">
          <w:rPr>
            <w:rStyle w:val="Hyperlink"/>
            <w:noProof/>
          </w:rPr>
          <w:t>In order to make efficient use of a wideband carrier, UEs should be capable of supporting simultaneous reception of two or more PDSCHs.</w:t>
        </w:r>
      </w:hyperlink>
    </w:p>
    <w:p w14:paraId="4BC6F887" w14:textId="317D63C8" w:rsidR="00C171F6" w:rsidRDefault="006F6582" w:rsidP="006E1C82">
      <w:pPr>
        <w:pStyle w:val="BodyText"/>
        <w:rPr>
          <w:b/>
          <w:bCs/>
        </w:rPr>
      </w:pPr>
      <w:r>
        <w:rPr>
          <w:b/>
          <w:bCs/>
        </w:rPr>
        <w:fldChar w:fldCharType="end"/>
      </w:r>
    </w:p>
    <w:p w14:paraId="6449A13A" w14:textId="44AD69F7" w:rsidR="006E1C82" w:rsidRPr="001F2F75" w:rsidRDefault="008E065E" w:rsidP="006E1C82">
      <w:pPr>
        <w:pStyle w:val="BodyText"/>
      </w:pPr>
      <w:r w:rsidRPr="001F2F75">
        <w:t xml:space="preserve">Based on the discussion </w:t>
      </w:r>
      <w:r w:rsidR="00F75255" w:rsidRPr="001F2F75">
        <w:t>in this paper</w:t>
      </w:r>
      <w:r w:rsidRPr="001F2F75">
        <w:t xml:space="preserve"> we propose the following:</w:t>
      </w:r>
    </w:p>
    <w:p w14:paraId="5E4C94CB" w14:textId="77777777" w:rsidR="00DF7387" w:rsidRPr="00DF7387"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24147309" w:history="1">
        <w:r w:rsidR="00DF7387" w:rsidRPr="00DF7387">
          <w:rPr>
            <w:rStyle w:val="Hyperlink"/>
            <w:noProof/>
          </w:rPr>
          <w:t>Proposal 1</w:t>
        </w:r>
        <w:r w:rsidR="00DF7387" w:rsidRPr="00DF7387">
          <w:rPr>
            <w:rFonts w:asciiTheme="minorHAnsi" w:eastAsiaTheme="minorEastAsia" w:hAnsiTheme="minorHAnsi"/>
            <w:b w:val="0"/>
            <w:noProof/>
            <w:lang w:eastAsia="en-US"/>
          </w:rPr>
          <w:tab/>
        </w:r>
        <w:r w:rsidR="00DF7387" w:rsidRPr="00DF7387">
          <w:rPr>
            <w:rStyle w:val="Hyperlink"/>
            <w:noProof/>
          </w:rPr>
          <w:t>Further discussion is needed on UE capability for simultaneous reception of two or more PDSCHs</w:t>
        </w:r>
      </w:hyperlink>
    </w:p>
    <w:p w14:paraId="3AF517E6" w14:textId="77777777" w:rsidR="00DF7387" w:rsidRPr="00DF7387" w:rsidRDefault="00DF7387">
      <w:pPr>
        <w:pStyle w:val="TableofFigures"/>
        <w:tabs>
          <w:tab w:val="right" w:leader="dot" w:pos="9629"/>
        </w:tabs>
        <w:rPr>
          <w:rFonts w:asciiTheme="minorHAnsi" w:eastAsiaTheme="minorEastAsia" w:hAnsiTheme="minorHAnsi"/>
          <w:b w:val="0"/>
          <w:noProof/>
          <w:lang w:eastAsia="en-US"/>
        </w:rPr>
      </w:pPr>
      <w:hyperlink w:anchor="_Toc24147310" w:history="1">
        <w:r w:rsidRPr="00DF7387">
          <w:rPr>
            <w:rStyle w:val="Hyperlink"/>
            <w:noProof/>
          </w:rPr>
          <w:t>Proposal 2</w:t>
        </w:r>
        <w:r w:rsidRPr="00DF7387">
          <w:rPr>
            <w:rFonts w:asciiTheme="minorHAnsi" w:eastAsiaTheme="minorEastAsia" w:hAnsiTheme="minorHAnsi"/>
            <w:b w:val="0"/>
            <w:noProof/>
            <w:lang w:eastAsia="en-US"/>
          </w:rPr>
          <w:tab/>
        </w:r>
        <w:r w:rsidRPr="00DF7387">
          <w:rPr>
            <w:rStyle w:val="Hyperlink"/>
            <w:noProof/>
          </w:rPr>
          <w:t xml:space="preserve">Support an RRC parameter </w:t>
        </w:r>
        <w:r w:rsidRPr="00DF7387">
          <w:rPr>
            <w:rStyle w:val="Hyperlink"/>
            <w:i/>
            <w:noProof/>
          </w:rPr>
          <w:t>RB-SetsPerCell-r16</w:t>
        </w:r>
        <w:r w:rsidRPr="00DF7387">
          <w:rPr>
            <w:rStyle w:val="Hyperlink"/>
            <w:noProof/>
          </w:rPr>
          <w:t xml:space="preserve"> used for defining the RB ranges for a carrier with multiple LBT bandwidths. Each RB Set is fixed relative to Point A. The following two alternatives should be down-selected to one:</w:t>
        </w:r>
      </w:hyperlink>
    </w:p>
    <w:p w14:paraId="67A2AF77" w14:textId="77777777" w:rsidR="00DF7387" w:rsidRPr="00DF7387" w:rsidRDefault="00DF7387" w:rsidP="00DF7387">
      <w:pPr>
        <w:pStyle w:val="TableofFigures"/>
        <w:tabs>
          <w:tab w:val="right" w:leader="dot" w:pos="9629"/>
        </w:tabs>
        <w:ind w:left="2160" w:hanging="450"/>
        <w:rPr>
          <w:rFonts w:asciiTheme="minorHAnsi" w:eastAsiaTheme="minorEastAsia" w:hAnsiTheme="minorHAnsi"/>
          <w:b w:val="0"/>
          <w:noProof/>
          <w:lang w:eastAsia="en-US"/>
        </w:rPr>
      </w:pPr>
      <w:hyperlink w:anchor="_Toc24147311" w:history="1">
        <w:r w:rsidRPr="00DF7387">
          <w:rPr>
            <w:rStyle w:val="Hyperlink"/>
            <w:rFonts w:ascii="Symbol" w:hAnsi="Symbol"/>
            <w:noProof/>
          </w:rPr>
          <w:t></w:t>
        </w:r>
        <w:r w:rsidRPr="00DF7387">
          <w:rPr>
            <w:rFonts w:asciiTheme="minorHAnsi" w:eastAsiaTheme="minorEastAsia" w:hAnsiTheme="minorHAnsi"/>
            <w:b w:val="0"/>
            <w:noProof/>
            <w:lang w:eastAsia="en-US"/>
          </w:rPr>
          <w:tab/>
        </w:r>
        <w:r w:rsidRPr="00DF7387">
          <w:rPr>
            <w:rStyle w:val="Hyperlink"/>
            <w:noProof/>
          </w:rPr>
          <w:t>Alt-1: An RB Set is specified by a start RB index and an end RB index</w:t>
        </w:r>
      </w:hyperlink>
    </w:p>
    <w:p w14:paraId="67324B0F" w14:textId="77777777" w:rsidR="00DF7387" w:rsidRPr="00DF7387" w:rsidRDefault="00DF7387" w:rsidP="00DF7387">
      <w:pPr>
        <w:pStyle w:val="TableofFigures"/>
        <w:tabs>
          <w:tab w:val="right" w:leader="dot" w:pos="9629"/>
        </w:tabs>
        <w:ind w:left="2160" w:hanging="450"/>
        <w:rPr>
          <w:rFonts w:asciiTheme="minorHAnsi" w:eastAsiaTheme="minorEastAsia" w:hAnsiTheme="minorHAnsi"/>
          <w:b w:val="0"/>
          <w:noProof/>
          <w:lang w:eastAsia="en-US"/>
        </w:rPr>
      </w:pPr>
      <w:hyperlink w:anchor="_Toc24147312" w:history="1">
        <w:r w:rsidRPr="00DF7387">
          <w:rPr>
            <w:rStyle w:val="Hyperlink"/>
            <w:rFonts w:ascii="Symbol" w:hAnsi="Symbol"/>
            <w:noProof/>
          </w:rPr>
          <w:t></w:t>
        </w:r>
        <w:r w:rsidRPr="00DF7387">
          <w:rPr>
            <w:rFonts w:asciiTheme="minorHAnsi" w:eastAsiaTheme="minorEastAsia" w:hAnsiTheme="minorHAnsi"/>
            <w:b w:val="0"/>
            <w:noProof/>
            <w:lang w:eastAsia="en-US"/>
          </w:rPr>
          <w:tab/>
        </w:r>
        <w:r w:rsidRPr="00DF7387">
          <w:rPr>
            <w:rStyle w:val="Hyperlink"/>
            <w:noProof/>
          </w:rPr>
          <w:t>Alt-2: An RB Set is specified by a start RB index and a number of RBs</w:t>
        </w:r>
      </w:hyperlink>
    </w:p>
    <w:p w14:paraId="0F766EB2" w14:textId="77777777" w:rsidR="00DF7387" w:rsidRDefault="00DF7387" w:rsidP="00DF7387">
      <w:pPr>
        <w:pStyle w:val="TableofFigures"/>
        <w:tabs>
          <w:tab w:val="right" w:leader="dot" w:pos="9629"/>
        </w:tabs>
        <w:ind w:left="1710" w:firstLine="0"/>
        <w:rPr>
          <w:rFonts w:asciiTheme="minorHAnsi" w:eastAsiaTheme="minorEastAsia" w:hAnsiTheme="minorHAnsi"/>
          <w:b w:val="0"/>
          <w:noProof/>
          <w:lang w:eastAsia="en-US"/>
        </w:rPr>
      </w:pPr>
      <w:hyperlink w:anchor="_Toc24147313" w:history="1">
        <w:r w:rsidRPr="00DF7387">
          <w:rPr>
            <w:rStyle w:val="Hyperlink"/>
            <w:noProof/>
          </w:rPr>
          <w:t xml:space="preserve">For a carrier with only one LBT bandwidth, </w:t>
        </w:r>
        <w:r w:rsidRPr="00DF7387">
          <w:rPr>
            <w:rStyle w:val="Hyperlink"/>
            <w:i/>
            <w:noProof/>
          </w:rPr>
          <w:t>RB-SetsPerCell-r16</w:t>
        </w:r>
        <w:r w:rsidRPr="00DF7387">
          <w:rPr>
            <w:rStyle w:val="Hyperlink"/>
            <w:noProof/>
          </w:rPr>
          <w:t xml:space="preserve"> is not configured, in which case the RB Set implicitly covers the whole carrier.</w:t>
        </w:r>
      </w:hyperlink>
    </w:p>
    <w:p w14:paraId="4D8159E3" w14:textId="77777777" w:rsidR="00DF7387" w:rsidRDefault="00DF7387">
      <w:pPr>
        <w:pStyle w:val="TableofFigures"/>
        <w:tabs>
          <w:tab w:val="right" w:leader="dot" w:pos="9629"/>
        </w:tabs>
        <w:rPr>
          <w:rFonts w:asciiTheme="minorHAnsi" w:eastAsiaTheme="minorEastAsia" w:hAnsiTheme="minorHAnsi"/>
          <w:b w:val="0"/>
          <w:noProof/>
          <w:lang w:eastAsia="en-US"/>
        </w:rPr>
      </w:pPr>
      <w:hyperlink w:anchor="_Toc24147314" w:history="1">
        <w:r w:rsidRPr="00FC37F9">
          <w:rPr>
            <w:rStyle w:val="Hyperlink"/>
            <w:noProof/>
          </w:rPr>
          <w:t>Proposal 3</w:t>
        </w:r>
        <w:r>
          <w:rPr>
            <w:rFonts w:asciiTheme="minorHAnsi" w:eastAsiaTheme="minorEastAsia" w:hAnsiTheme="minorHAnsi"/>
            <w:b w:val="0"/>
            <w:noProof/>
            <w:lang w:eastAsia="en-US"/>
          </w:rPr>
          <w:tab/>
        </w:r>
        <w:r w:rsidRPr="00FC37F9">
          <w:rPr>
            <w:rStyle w:val="Hyperlink"/>
            <w:noProof/>
          </w:rPr>
          <w:t xml:space="preserve">A search space set associated with a CORESET can be configured with multiple non-overlapping frequency domain (FD) monitoring locations within a BWP, where an FD monitoring location is defined by a replication of the PRB pattern defined by the parameter </w:t>
        </w:r>
        <w:r w:rsidRPr="00FC37F9">
          <w:rPr>
            <w:rStyle w:val="Hyperlink"/>
            <w:i/>
            <w:noProof/>
          </w:rPr>
          <w:t>frequencyDomainReseources</w:t>
        </w:r>
        <w:r w:rsidRPr="00FC37F9">
          <w:rPr>
            <w:rStyle w:val="Hyperlink"/>
            <w:noProof/>
          </w:rPr>
          <w:t xml:space="preserve"> within </w:t>
        </w:r>
        <w:r w:rsidRPr="00FC37F9">
          <w:rPr>
            <w:rStyle w:val="Hyperlink"/>
            <w:i/>
            <w:noProof/>
          </w:rPr>
          <w:t>ControlResourceSet</w:t>
        </w:r>
        <w:r w:rsidRPr="00FC37F9">
          <w:rPr>
            <w:rStyle w:val="Hyperlink"/>
            <w:noProof/>
          </w:rPr>
          <w:t xml:space="preserve">. The starting PRB index of the replicated pattern is given by an integer PRB offset relative to the PRB index corresponding to the first bit in </w:t>
        </w:r>
        <w:r w:rsidRPr="00FC37F9">
          <w:rPr>
            <w:rStyle w:val="Hyperlink"/>
            <w:i/>
            <w:noProof/>
          </w:rPr>
          <w:t>frequencyDomainReseources</w:t>
        </w:r>
        <w:r w:rsidRPr="00FC37F9">
          <w:rPr>
            <w:rStyle w:val="Hyperlink"/>
            <w:noProof/>
          </w:rPr>
          <w:t>. The PRB offset may take a value in the range 0..maxNrofPhysicalResourceBlocks-1.</w:t>
        </w:r>
      </w:hyperlink>
    </w:p>
    <w:p w14:paraId="76622E48" w14:textId="77777777" w:rsidR="00DF7387" w:rsidRDefault="00DF7387" w:rsidP="00DF7387">
      <w:pPr>
        <w:pStyle w:val="TableofFigures"/>
        <w:tabs>
          <w:tab w:val="right" w:leader="dot" w:pos="9629"/>
        </w:tabs>
        <w:ind w:left="2160" w:hanging="450"/>
        <w:rPr>
          <w:rFonts w:asciiTheme="minorHAnsi" w:eastAsiaTheme="minorEastAsia" w:hAnsiTheme="minorHAnsi"/>
          <w:b w:val="0"/>
          <w:noProof/>
          <w:lang w:eastAsia="en-US"/>
        </w:rPr>
      </w:pPr>
      <w:hyperlink w:anchor="_Toc24147315" w:history="1">
        <w:r w:rsidRPr="00FC37F9">
          <w:rPr>
            <w:rStyle w:val="Hyperlink"/>
            <w:rFonts w:ascii="Symbol" w:hAnsi="Symbol"/>
            <w:noProof/>
          </w:rPr>
          <w:t></w:t>
        </w:r>
        <w:r>
          <w:rPr>
            <w:rFonts w:asciiTheme="minorHAnsi" w:eastAsiaTheme="minorEastAsia" w:hAnsiTheme="minorHAnsi"/>
            <w:b w:val="0"/>
            <w:noProof/>
            <w:lang w:eastAsia="en-US"/>
          </w:rPr>
          <w:tab/>
        </w:r>
        <w:r w:rsidRPr="00FC37F9">
          <w:rPr>
            <w:rStyle w:val="Hyperlink"/>
            <w:noProof/>
          </w:rPr>
          <w:t>Note: if the no PRB offset(s) is/are configured, then the UE performs PDCCH monitoring in PRBs defined only by the CORESET as in Rel-15</w:t>
        </w:r>
      </w:hyperlink>
    </w:p>
    <w:p w14:paraId="29E5F4E6" w14:textId="01FCE793" w:rsidR="00C01F33" w:rsidRPr="001F0FA7" w:rsidRDefault="006E1C82" w:rsidP="001F0FA7">
      <w:pPr>
        <w:pStyle w:val="BodyText"/>
        <w:rPr>
          <w:b/>
          <w:bCs/>
        </w:rPr>
      </w:pPr>
      <w:r>
        <w:rPr>
          <w:b/>
          <w:bCs/>
        </w:rPr>
        <w:fldChar w:fldCharType="end"/>
      </w:r>
    </w:p>
    <w:p w14:paraId="75F0F757" w14:textId="77777777" w:rsidR="00F507D1" w:rsidRPr="00CE0424" w:rsidRDefault="00F507D1" w:rsidP="004A3521">
      <w:pPr>
        <w:pStyle w:val="Heading1"/>
      </w:pPr>
      <w:bookmarkStart w:id="18" w:name="_In-sequence_SDU_delivery"/>
      <w:bookmarkEnd w:id="18"/>
      <w:r w:rsidRPr="00CE0424">
        <w:t>References</w:t>
      </w:r>
    </w:p>
    <w:p w14:paraId="0F5657BD" w14:textId="10EFFC73" w:rsidR="002A74D5" w:rsidRPr="001F2F75" w:rsidRDefault="002A74D5" w:rsidP="002A74D5">
      <w:pPr>
        <w:pStyle w:val="Reference"/>
      </w:pPr>
      <w:bookmarkStart w:id="19" w:name="_Ref1131178"/>
      <w:bookmarkStart w:id="20" w:name="_Ref534127550"/>
      <w:bookmarkStart w:id="21" w:name="_Ref525732218"/>
      <w:bookmarkStart w:id="22" w:name="_Ref525647225"/>
      <w:r w:rsidRPr="001F2F75">
        <w:t>RP-182878, “New WID on NR-based Access to Unlicensed Spectrum,” Qualcomm, RAN#82, December 2018.</w:t>
      </w:r>
    </w:p>
    <w:p w14:paraId="61B4946D" w14:textId="6B232A79" w:rsidR="00953262" w:rsidRPr="001F2F75" w:rsidRDefault="00953262" w:rsidP="00953262">
      <w:pPr>
        <w:pStyle w:val="Reference"/>
      </w:pPr>
      <w:bookmarkStart w:id="23" w:name="_Ref534117348"/>
      <w:r w:rsidRPr="001F2F75">
        <w:t>3GPP TR 38.889, “Study on NR-based access to unlicensed spectrum,” v16.0.0, December 2018.</w:t>
      </w:r>
      <w:bookmarkEnd w:id="23"/>
    </w:p>
    <w:p w14:paraId="38B36301" w14:textId="094D60DE" w:rsidR="00BE598B" w:rsidRPr="001F2F75" w:rsidRDefault="00EC5D3D" w:rsidP="00BE598B">
      <w:pPr>
        <w:pStyle w:val="Reference"/>
      </w:pPr>
      <w:bookmarkStart w:id="24" w:name="_Ref525666947"/>
      <w:bookmarkStart w:id="25" w:name="_Ref4753619"/>
      <w:bookmarkStart w:id="26" w:name="_Ref1136318"/>
      <w:r w:rsidRPr="001F2F75">
        <w:lastRenderedPageBreak/>
        <w:t>R1-1812026</w:t>
      </w:r>
      <w:r w:rsidR="00BE598B" w:rsidRPr="001F2F75">
        <w:t>, “</w:t>
      </w:r>
      <w:r w:rsidR="00BE598B" w:rsidRPr="001F2F75">
        <w:rPr>
          <w:lang w:eastAsia="x-none"/>
        </w:rPr>
        <w:t>LS on wideband carrier operation for NR-U</w:t>
      </w:r>
      <w:r w:rsidR="00BE598B" w:rsidRPr="001F2F75">
        <w:t>,” RAN1, RAN1#94b, October 2018.</w:t>
      </w:r>
      <w:bookmarkEnd w:id="24"/>
      <w:bookmarkEnd w:id="25"/>
    </w:p>
    <w:p w14:paraId="4DF55CC3" w14:textId="36390181" w:rsidR="00BE598B" w:rsidRPr="001F2F75" w:rsidRDefault="00BE598B" w:rsidP="00BE598B">
      <w:pPr>
        <w:pStyle w:val="Reference"/>
      </w:pPr>
      <w:bookmarkStart w:id="27" w:name="_Ref4754607"/>
      <w:r w:rsidRPr="001F2F75">
        <w:t>R1-1900008, “</w:t>
      </w:r>
      <w:bookmarkStart w:id="28" w:name="_Hlk503517020"/>
      <w:r w:rsidRPr="001F2F75">
        <w:rPr>
          <w:rFonts w:cs="Arial"/>
        </w:rPr>
        <w:t>Reply LS on wideband carrier operation for NR-U</w:t>
      </w:r>
      <w:bookmarkEnd w:id="28"/>
      <w:r w:rsidR="00492506" w:rsidRPr="001F2F75">
        <w:rPr>
          <w:rFonts w:cs="Arial"/>
        </w:rPr>
        <w:t>,” RAN4, RAN1#AH1901, January 2019.</w:t>
      </w:r>
      <w:bookmarkEnd w:id="27"/>
    </w:p>
    <w:p w14:paraId="33FC42FE" w14:textId="52514CBF" w:rsidR="00492506" w:rsidRPr="001F2F75" w:rsidRDefault="00492506" w:rsidP="000962B9">
      <w:pPr>
        <w:pStyle w:val="Reference"/>
      </w:pPr>
      <w:bookmarkStart w:id="29" w:name="_Ref4755824"/>
      <w:bookmarkEnd w:id="19"/>
      <w:bookmarkEnd w:id="26"/>
      <w:r w:rsidRPr="001F2F75">
        <w:t>R1-1903845, “</w:t>
      </w:r>
      <w:r w:rsidRPr="001F2F75">
        <w:rPr>
          <w:rFonts w:cs="Arial"/>
        </w:rPr>
        <w:t>Reply LS on wideband carrier operation for NR-U,” RAN4, RAN1#96b, April 2019.</w:t>
      </w:r>
      <w:bookmarkEnd w:id="29"/>
    </w:p>
    <w:p w14:paraId="13FA23EA" w14:textId="468302B8" w:rsidR="00EC42AB" w:rsidRPr="001F2F75" w:rsidRDefault="00EC42AB" w:rsidP="000962B9">
      <w:pPr>
        <w:pStyle w:val="Reference"/>
      </w:pPr>
      <w:bookmarkStart w:id="30" w:name="_Ref16171115"/>
      <w:r w:rsidRPr="001F2F75">
        <w:t>R1-1905895, “LS on UL wideband operation for NR-U,” RAN1, RAN1#96b, April 2019.</w:t>
      </w:r>
      <w:bookmarkEnd w:id="30"/>
    </w:p>
    <w:p w14:paraId="3A4703BD" w14:textId="20F1BE0A" w:rsidR="00EC42AB" w:rsidRPr="001F2F75" w:rsidRDefault="00891464" w:rsidP="00EC42AB">
      <w:pPr>
        <w:pStyle w:val="Reference"/>
      </w:pPr>
      <w:bookmarkStart w:id="31" w:name="_Ref7709648"/>
      <w:r w:rsidRPr="001F2F75">
        <w:t>R1-1905930, “</w:t>
      </w:r>
      <w:r w:rsidRPr="001F2F75">
        <w:rPr>
          <w:rFonts w:cs="Arial"/>
        </w:rPr>
        <w:t>LS reply on wideband carrier operation for NR-U,” RAN4, RAN1#97, May 2019.</w:t>
      </w:r>
      <w:bookmarkEnd w:id="31"/>
    </w:p>
    <w:p w14:paraId="41F43FFB" w14:textId="77777777" w:rsidR="005B01C8" w:rsidRPr="001F2F75" w:rsidRDefault="005B01C8" w:rsidP="005B01C8">
      <w:pPr>
        <w:pStyle w:val="Reference"/>
      </w:pPr>
      <w:bookmarkStart w:id="32" w:name="_Ref16172201"/>
      <w:r w:rsidRPr="001F2F75">
        <w:t>RP-191581, “</w:t>
      </w:r>
      <w:r w:rsidRPr="001F2F75">
        <w:rPr>
          <w:rFonts w:eastAsia="SimSun" w:cs="Arial"/>
          <w:bCs/>
        </w:rPr>
        <w:t>Guidance on essential functionality for NR-U,</w:t>
      </w:r>
      <w:r w:rsidRPr="001F2F75">
        <w:t>” RAN, RAN#84, June 2019.</w:t>
      </w:r>
      <w:bookmarkEnd w:id="32"/>
    </w:p>
    <w:p w14:paraId="75145714" w14:textId="4F863F01" w:rsidR="00246271" w:rsidRPr="001F2F75" w:rsidRDefault="00246271" w:rsidP="00246271">
      <w:pPr>
        <w:pStyle w:val="Reference"/>
      </w:pPr>
      <w:r w:rsidRPr="001F2F75">
        <w:t>R4-1906421, “</w:t>
      </w:r>
      <w:r w:rsidRPr="001F2F75">
        <w:rPr>
          <w:rFonts w:cs="Arial"/>
        </w:rPr>
        <w:t>Discussion on regulatory requirements for in-carrier leakage in NR-U,” Nokia, RAN4#91</w:t>
      </w:r>
      <w:r w:rsidRPr="001F2F75">
        <w:t>, May 2019.</w:t>
      </w:r>
    </w:p>
    <w:p w14:paraId="306333F1" w14:textId="2214D95E" w:rsidR="00A878B4" w:rsidRPr="001F2F75" w:rsidRDefault="00A878B4" w:rsidP="00CA0922">
      <w:pPr>
        <w:pStyle w:val="Reference"/>
      </w:pPr>
      <w:bookmarkStart w:id="33" w:name="_Ref16169766"/>
      <w:bookmarkEnd w:id="20"/>
      <w:bookmarkEnd w:id="21"/>
      <w:bookmarkEnd w:id="22"/>
      <w:r w:rsidRPr="001F2F75">
        <w:t>R1-1907458, “Wideband operation,” Ericsson, RAN1#97, May 2019.</w:t>
      </w:r>
      <w:bookmarkEnd w:id="33"/>
    </w:p>
    <w:p w14:paraId="6EDBB1A1" w14:textId="0D038D49" w:rsidR="00EC42AB" w:rsidRPr="001F2F75" w:rsidRDefault="00EC42AB" w:rsidP="00A878B4">
      <w:pPr>
        <w:pStyle w:val="Reference"/>
      </w:pPr>
      <w:bookmarkStart w:id="34" w:name="_Ref16171605"/>
      <w:r w:rsidRPr="001F2F75">
        <w:t xml:space="preserve">R4-1907850, </w:t>
      </w:r>
      <w:r w:rsidR="00246271" w:rsidRPr="001F2F75">
        <w:t>“LS to ETSI TC BRAN on Interpretations of EN 301 893 for NR-U,” RAN4, RAN4#91, May 2019.</w:t>
      </w:r>
      <w:bookmarkEnd w:id="34"/>
    </w:p>
    <w:p w14:paraId="5C4FF472" w14:textId="7AC2E0B4" w:rsidR="00784AAF" w:rsidRPr="001F2F75" w:rsidRDefault="00784AAF" w:rsidP="00784AAF">
      <w:pPr>
        <w:pStyle w:val="Reference"/>
      </w:pPr>
      <w:bookmarkStart w:id="35" w:name="_Ref7716718"/>
      <w:r w:rsidRPr="001F2F75">
        <w:t xml:space="preserve">R4-1900664, “BS requirements on wideband carrier operation for NR-U,” Huawei, RAN4#90, </w:t>
      </w:r>
      <w:proofErr w:type="spellStart"/>
      <w:r w:rsidRPr="001F2F75">
        <w:t>Februrary</w:t>
      </w:r>
      <w:proofErr w:type="spellEnd"/>
      <w:r w:rsidRPr="001F2F75">
        <w:t xml:space="preserve"> 2019.</w:t>
      </w:r>
      <w:bookmarkEnd w:id="35"/>
    </w:p>
    <w:p w14:paraId="3BE996F3" w14:textId="0F985CE6" w:rsidR="00B14D49" w:rsidRPr="00045CDE" w:rsidRDefault="00B14D49" w:rsidP="00A878B4">
      <w:pPr>
        <w:pStyle w:val="Reference"/>
      </w:pPr>
      <w:bookmarkStart w:id="36" w:name="_Ref16178072"/>
      <w:r w:rsidRPr="00045CDE">
        <w:t>R1-19</w:t>
      </w:r>
      <w:r w:rsidR="00045CDE" w:rsidRPr="00045CDE">
        <w:t>1</w:t>
      </w:r>
      <w:r w:rsidR="00D2671C">
        <w:t>2708</w:t>
      </w:r>
      <w:r w:rsidRPr="00045CDE">
        <w:t>, “UL Signals and Channels,” Ericsson, RAN1#9</w:t>
      </w:r>
      <w:r w:rsidR="00D2671C">
        <w:t>9</w:t>
      </w:r>
      <w:r w:rsidRPr="00045CDE">
        <w:t xml:space="preserve">, </w:t>
      </w:r>
      <w:r w:rsidR="00D2671C">
        <w:t>November</w:t>
      </w:r>
      <w:r w:rsidRPr="00045CDE">
        <w:t xml:space="preserve"> 2019.</w:t>
      </w:r>
      <w:bookmarkEnd w:id="36"/>
    </w:p>
    <w:p w14:paraId="2B633CBB" w14:textId="15791F1E" w:rsidR="00B0204E" w:rsidRPr="001F2F75" w:rsidRDefault="00B0204E" w:rsidP="00B0204E">
      <w:pPr>
        <w:pStyle w:val="Reference"/>
      </w:pPr>
      <w:bookmarkStart w:id="37" w:name="_Ref20768133"/>
      <w:bookmarkStart w:id="38" w:name="_Ref16178041"/>
      <w:r w:rsidRPr="001F2F75">
        <w:t>R1-19</w:t>
      </w:r>
      <w:r w:rsidR="00D2671C">
        <w:t>11722</w:t>
      </w:r>
      <w:r w:rsidRPr="001F2F75">
        <w:t>, “Summary of RRC parameters for NR-U,” Qualcomm, RAN1#9</w:t>
      </w:r>
      <w:r w:rsidR="00D2671C">
        <w:t>9</w:t>
      </w:r>
      <w:r w:rsidRPr="001F2F75">
        <w:t xml:space="preserve">, </w:t>
      </w:r>
      <w:r w:rsidR="00D2671C">
        <w:t>November 2019</w:t>
      </w:r>
      <w:r w:rsidRPr="001F2F75">
        <w:t>.</w:t>
      </w:r>
      <w:bookmarkEnd w:id="37"/>
    </w:p>
    <w:p w14:paraId="4C49C713" w14:textId="171552F7" w:rsidR="00EB2FD1" w:rsidRPr="001F2F75" w:rsidRDefault="000847D4" w:rsidP="00EB2FD1">
      <w:pPr>
        <w:pStyle w:val="Reference"/>
      </w:pPr>
      <w:bookmarkStart w:id="39" w:name="_Ref20768333"/>
      <w:r w:rsidRPr="00045CDE">
        <w:t>R4-19</w:t>
      </w:r>
      <w:r w:rsidR="00045CDE" w:rsidRPr="00045CDE">
        <w:t>12016</w:t>
      </w:r>
      <w:r w:rsidRPr="00045CDE">
        <w:t xml:space="preserve">, </w:t>
      </w:r>
      <w:bookmarkEnd w:id="38"/>
      <w:r w:rsidR="0084540C" w:rsidRPr="00045CDE">
        <w:t>“Channel raster design of Rel-16 NR-U for 5GHz band,” Ericsson, RAN4#92</w:t>
      </w:r>
      <w:r w:rsidR="00B0204E" w:rsidRPr="00045CDE">
        <w:t>b</w:t>
      </w:r>
      <w:r w:rsidR="0084540C" w:rsidRPr="00045CDE">
        <w:t>,</w:t>
      </w:r>
      <w:r w:rsidR="0084540C" w:rsidRPr="001F2F75">
        <w:t xml:space="preserve"> </w:t>
      </w:r>
      <w:r w:rsidR="00B0204E" w:rsidRPr="001F2F75">
        <w:t>October</w:t>
      </w:r>
      <w:r w:rsidR="0084540C" w:rsidRPr="001F2F75">
        <w:t xml:space="preserve"> 2019.</w:t>
      </w:r>
      <w:bookmarkEnd w:id="39"/>
    </w:p>
    <w:sectPr w:rsidR="00EB2FD1" w:rsidRPr="001F2F7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6D73F" w14:textId="77777777" w:rsidR="006F5DF6" w:rsidRDefault="006F5DF6">
      <w:r>
        <w:separator/>
      </w:r>
    </w:p>
  </w:endnote>
  <w:endnote w:type="continuationSeparator" w:id="0">
    <w:p w14:paraId="6503581A" w14:textId="77777777" w:rsidR="006F5DF6" w:rsidRDefault="006F5DF6">
      <w:r>
        <w:continuationSeparator/>
      </w:r>
    </w:p>
  </w:endnote>
  <w:endnote w:type="continuationNotice" w:id="1">
    <w:p w14:paraId="5D69CE51" w14:textId="77777777" w:rsidR="006F5DF6" w:rsidRDefault="006F5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6F5DF6" w:rsidRDefault="006F5D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74FF4" w14:textId="77777777" w:rsidR="006F5DF6" w:rsidRDefault="006F5DF6">
      <w:r>
        <w:separator/>
      </w:r>
    </w:p>
  </w:footnote>
  <w:footnote w:type="continuationSeparator" w:id="0">
    <w:p w14:paraId="6207BFFC" w14:textId="77777777" w:rsidR="006F5DF6" w:rsidRDefault="006F5DF6">
      <w:r>
        <w:continuationSeparator/>
      </w:r>
    </w:p>
  </w:footnote>
  <w:footnote w:type="continuationNotice" w:id="1">
    <w:p w14:paraId="356B1385" w14:textId="77777777" w:rsidR="006F5DF6" w:rsidRDefault="006F5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6F5DF6" w:rsidRDefault="006F5D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87F27B7"/>
    <w:multiLevelType w:val="hybridMultilevel"/>
    <w:tmpl w:val="9342B702"/>
    <w:lvl w:ilvl="0" w:tplc="47CE2536">
      <w:start w:val="1"/>
      <w:numFmt w:val="bullet"/>
      <w:lvlText w:val=""/>
      <w:lvlJc w:val="left"/>
      <w:pPr>
        <w:tabs>
          <w:tab w:val="num" w:pos="720"/>
        </w:tabs>
        <w:ind w:left="720" w:hanging="360"/>
      </w:pPr>
      <w:rPr>
        <w:rFonts w:ascii="Symbol" w:hAnsi="Symbol" w:hint="default"/>
      </w:rPr>
    </w:lvl>
    <w:lvl w:ilvl="1" w:tplc="F6B4E9C6" w:tentative="1">
      <w:start w:val="1"/>
      <w:numFmt w:val="bullet"/>
      <w:lvlText w:val=""/>
      <w:lvlJc w:val="left"/>
      <w:pPr>
        <w:tabs>
          <w:tab w:val="num" w:pos="1440"/>
        </w:tabs>
        <w:ind w:left="1440" w:hanging="360"/>
      </w:pPr>
      <w:rPr>
        <w:rFonts w:ascii="Symbol" w:hAnsi="Symbol" w:hint="default"/>
      </w:rPr>
    </w:lvl>
    <w:lvl w:ilvl="2" w:tplc="CE5419B8" w:tentative="1">
      <w:start w:val="1"/>
      <w:numFmt w:val="bullet"/>
      <w:lvlText w:val=""/>
      <w:lvlJc w:val="left"/>
      <w:pPr>
        <w:tabs>
          <w:tab w:val="num" w:pos="2160"/>
        </w:tabs>
        <w:ind w:left="2160" w:hanging="360"/>
      </w:pPr>
      <w:rPr>
        <w:rFonts w:ascii="Symbol" w:hAnsi="Symbol" w:hint="default"/>
      </w:rPr>
    </w:lvl>
    <w:lvl w:ilvl="3" w:tplc="2AB4C4EA" w:tentative="1">
      <w:start w:val="1"/>
      <w:numFmt w:val="bullet"/>
      <w:lvlText w:val=""/>
      <w:lvlJc w:val="left"/>
      <w:pPr>
        <w:tabs>
          <w:tab w:val="num" w:pos="2880"/>
        </w:tabs>
        <w:ind w:left="2880" w:hanging="360"/>
      </w:pPr>
      <w:rPr>
        <w:rFonts w:ascii="Symbol" w:hAnsi="Symbol" w:hint="default"/>
      </w:rPr>
    </w:lvl>
    <w:lvl w:ilvl="4" w:tplc="EAE4E30E" w:tentative="1">
      <w:start w:val="1"/>
      <w:numFmt w:val="bullet"/>
      <w:lvlText w:val=""/>
      <w:lvlJc w:val="left"/>
      <w:pPr>
        <w:tabs>
          <w:tab w:val="num" w:pos="3600"/>
        </w:tabs>
        <w:ind w:left="3600" w:hanging="360"/>
      </w:pPr>
      <w:rPr>
        <w:rFonts w:ascii="Symbol" w:hAnsi="Symbol" w:hint="default"/>
      </w:rPr>
    </w:lvl>
    <w:lvl w:ilvl="5" w:tplc="3E362756" w:tentative="1">
      <w:start w:val="1"/>
      <w:numFmt w:val="bullet"/>
      <w:lvlText w:val=""/>
      <w:lvlJc w:val="left"/>
      <w:pPr>
        <w:tabs>
          <w:tab w:val="num" w:pos="4320"/>
        </w:tabs>
        <w:ind w:left="4320" w:hanging="360"/>
      </w:pPr>
      <w:rPr>
        <w:rFonts w:ascii="Symbol" w:hAnsi="Symbol" w:hint="default"/>
      </w:rPr>
    </w:lvl>
    <w:lvl w:ilvl="6" w:tplc="58C05990" w:tentative="1">
      <w:start w:val="1"/>
      <w:numFmt w:val="bullet"/>
      <w:lvlText w:val=""/>
      <w:lvlJc w:val="left"/>
      <w:pPr>
        <w:tabs>
          <w:tab w:val="num" w:pos="5040"/>
        </w:tabs>
        <w:ind w:left="5040" w:hanging="360"/>
      </w:pPr>
      <w:rPr>
        <w:rFonts w:ascii="Symbol" w:hAnsi="Symbol" w:hint="default"/>
      </w:rPr>
    </w:lvl>
    <w:lvl w:ilvl="7" w:tplc="77A20FD0" w:tentative="1">
      <w:start w:val="1"/>
      <w:numFmt w:val="bullet"/>
      <w:lvlText w:val=""/>
      <w:lvlJc w:val="left"/>
      <w:pPr>
        <w:tabs>
          <w:tab w:val="num" w:pos="5760"/>
        </w:tabs>
        <w:ind w:left="5760" w:hanging="360"/>
      </w:pPr>
      <w:rPr>
        <w:rFonts w:ascii="Symbol" w:hAnsi="Symbol" w:hint="default"/>
      </w:rPr>
    </w:lvl>
    <w:lvl w:ilvl="8" w:tplc="00921D6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A46647"/>
    <w:multiLevelType w:val="hybridMultilevel"/>
    <w:tmpl w:val="7A58F896"/>
    <w:lvl w:ilvl="0" w:tplc="5DFAA5D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AC481BE"/>
    <w:lvl w:ilvl="0" w:tplc="E5BACDD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F0A4617"/>
    <w:multiLevelType w:val="hybridMultilevel"/>
    <w:tmpl w:val="F9EC90B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60ED39C8"/>
    <w:multiLevelType w:val="hybridMultilevel"/>
    <w:tmpl w:val="F71E0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1"/>
  </w:num>
  <w:num w:numId="7">
    <w:abstractNumId w:val="2"/>
  </w:num>
  <w:num w:numId="8">
    <w:abstractNumId w:val="3"/>
  </w:num>
  <w:num w:numId="9">
    <w:abstractNumId w:val="1"/>
  </w:num>
  <w:num w:numId="10">
    <w:abstractNumId w:val="16"/>
  </w:num>
  <w:num w:numId="11">
    <w:abstractNumId w:val="4"/>
  </w:num>
  <w:num w:numId="12">
    <w:abstractNumId w:val="14"/>
  </w:num>
  <w:num w:numId="13">
    <w:abstractNumId w:val="5"/>
  </w:num>
  <w:num w:numId="14">
    <w:abstractNumId w:val="13"/>
  </w:num>
  <w:num w:numId="15">
    <w:abstractNumId w:val="12"/>
  </w:num>
  <w:num w:numId="16">
    <w:abstractNumId w:val="17"/>
  </w:num>
  <w:num w:numId="17">
    <w:abstractNumId w:val="6"/>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473E"/>
    <w:rsid w:val="0000564C"/>
    <w:rsid w:val="00006446"/>
    <w:rsid w:val="00006896"/>
    <w:rsid w:val="00006DF2"/>
    <w:rsid w:val="0000706E"/>
    <w:rsid w:val="00007CDC"/>
    <w:rsid w:val="00010ABF"/>
    <w:rsid w:val="00011B28"/>
    <w:rsid w:val="00012480"/>
    <w:rsid w:val="00014218"/>
    <w:rsid w:val="00015D15"/>
    <w:rsid w:val="000163C0"/>
    <w:rsid w:val="000204C9"/>
    <w:rsid w:val="00023280"/>
    <w:rsid w:val="00023C28"/>
    <w:rsid w:val="0002564D"/>
    <w:rsid w:val="00025ECA"/>
    <w:rsid w:val="00025F54"/>
    <w:rsid w:val="0003110E"/>
    <w:rsid w:val="000325B8"/>
    <w:rsid w:val="00033FEE"/>
    <w:rsid w:val="00034C15"/>
    <w:rsid w:val="000353D6"/>
    <w:rsid w:val="00035BC4"/>
    <w:rsid w:val="000360D0"/>
    <w:rsid w:val="00036BA1"/>
    <w:rsid w:val="00041F8A"/>
    <w:rsid w:val="000422E2"/>
    <w:rsid w:val="00042686"/>
    <w:rsid w:val="00042F22"/>
    <w:rsid w:val="000444EF"/>
    <w:rsid w:val="0004455C"/>
    <w:rsid w:val="00045CDE"/>
    <w:rsid w:val="00052A07"/>
    <w:rsid w:val="000534E3"/>
    <w:rsid w:val="0005606A"/>
    <w:rsid w:val="00057117"/>
    <w:rsid w:val="000602FE"/>
    <w:rsid w:val="000616E7"/>
    <w:rsid w:val="0006321A"/>
    <w:rsid w:val="00063A58"/>
    <w:rsid w:val="00063CFC"/>
    <w:rsid w:val="0006487E"/>
    <w:rsid w:val="00065E1A"/>
    <w:rsid w:val="00067A0D"/>
    <w:rsid w:val="00070042"/>
    <w:rsid w:val="00071498"/>
    <w:rsid w:val="00074309"/>
    <w:rsid w:val="00075033"/>
    <w:rsid w:val="000751B6"/>
    <w:rsid w:val="00075E48"/>
    <w:rsid w:val="00076607"/>
    <w:rsid w:val="000766AF"/>
    <w:rsid w:val="00076742"/>
    <w:rsid w:val="00077E5F"/>
    <w:rsid w:val="0008036A"/>
    <w:rsid w:val="000803BB"/>
    <w:rsid w:val="00081AE6"/>
    <w:rsid w:val="0008266F"/>
    <w:rsid w:val="000830F9"/>
    <w:rsid w:val="00084365"/>
    <w:rsid w:val="000847D4"/>
    <w:rsid w:val="000855EB"/>
    <w:rsid w:val="00085A7A"/>
    <w:rsid w:val="00085B52"/>
    <w:rsid w:val="00085EEA"/>
    <w:rsid w:val="000866F2"/>
    <w:rsid w:val="0008764C"/>
    <w:rsid w:val="0009009F"/>
    <w:rsid w:val="00090844"/>
    <w:rsid w:val="00091557"/>
    <w:rsid w:val="000924C1"/>
    <w:rsid w:val="000924F0"/>
    <w:rsid w:val="00093474"/>
    <w:rsid w:val="0009510F"/>
    <w:rsid w:val="000962B9"/>
    <w:rsid w:val="000966BE"/>
    <w:rsid w:val="000A1264"/>
    <w:rsid w:val="000A1B7B"/>
    <w:rsid w:val="000A3FD3"/>
    <w:rsid w:val="000A406D"/>
    <w:rsid w:val="000A42E5"/>
    <w:rsid w:val="000A4333"/>
    <w:rsid w:val="000A514D"/>
    <w:rsid w:val="000A51A4"/>
    <w:rsid w:val="000A56F2"/>
    <w:rsid w:val="000A6E76"/>
    <w:rsid w:val="000A7245"/>
    <w:rsid w:val="000B2719"/>
    <w:rsid w:val="000B3A8F"/>
    <w:rsid w:val="000B4AB9"/>
    <w:rsid w:val="000B4CC1"/>
    <w:rsid w:val="000B4D31"/>
    <w:rsid w:val="000B58C3"/>
    <w:rsid w:val="000B5FD0"/>
    <w:rsid w:val="000B61E9"/>
    <w:rsid w:val="000B7361"/>
    <w:rsid w:val="000C165A"/>
    <w:rsid w:val="000C1DA7"/>
    <w:rsid w:val="000C2202"/>
    <w:rsid w:val="000C2E19"/>
    <w:rsid w:val="000C35BD"/>
    <w:rsid w:val="000C4202"/>
    <w:rsid w:val="000C4668"/>
    <w:rsid w:val="000D0A6E"/>
    <w:rsid w:val="000D0D07"/>
    <w:rsid w:val="000D3500"/>
    <w:rsid w:val="000D4797"/>
    <w:rsid w:val="000D6CB6"/>
    <w:rsid w:val="000D734A"/>
    <w:rsid w:val="000D773D"/>
    <w:rsid w:val="000E0527"/>
    <w:rsid w:val="000E1E92"/>
    <w:rsid w:val="000E2386"/>
    <w:rsid w:val="000E3353"/>
    <w:rsid w:val="000E49B6"/>
    <w:rsid w:val="000F06D6"/>
    <w:rsid w:val="000F0EB1"/>
    <w:rsid w:val="000F1106"/>
    <w:rsid w:val="000F19FC"/>
    <w:rsid w:val="000F2618"/>
    <w:rsid w:val="000F2FA5"/>
    <w:rsid w:val="000F3BE9"/>
    <w:rsid w:val="000F3F09"/>
    <w:rsid w:val="000F3F6C"/>
    <w:rsid w:val="000F6DF3"/>
    <w:rsid w:val="000F7251"/>
    <w:rsid w:val="000F7419"/>
    <w:rsid w:val="001005FF"/>
    <w:rsid w:val="00101C56"/>
    <w:rsid w:val="001023EF"/>
    <w:rsid w:val="00102C86"/>
    <w:rsid w:val="0010488D"/>
    <w:rsid w:val="00104BB1"/>
    <w:rsid w:val="00104DC8"/>
    <w:rsid w:val="00104F43"/>
    <w:rsid w:val="001062FB"/>
    <w:rsid w:val="001063E6"/>
    <w:rsid w:val="00112EA7"/>
    <w:rsid w:val="00113CF4"/>
    <w:rsid w:val="00114814"/>
    <w:rsid w:val="001153EA"/>
    <w:rsid w:val="00115643"/>
    <w:rsid w:val="00116765"/>
    <w:rsid w:val="00120464"/>
    <w:rsid w:val="001219F5"/>
    <w:rsid w:val="00121A20"/>
    <w:rsid w:val="00121CC8"/>
    <w:rsid w:val="0012377F"/>
    <w:rsid w:val="00124314"/>
    <w:rsid w:val="0012696F"/>
    <w:rsid w:val="00126B4A"/>
    <w:rsid w:val="00126C7B"/>
    <w:rsid w:val="00131B51"/>
    <w:rsid w:val="00132FD0"/>
    <w:rsid w:val="00133611"/>
    <w:rsid w:val="001344C0"/>
    <w:rsid w:val="001346FA"/>
    <w:rsid w:val="00135252"/>
    <w:rsid w:val="001375E5"/>
    <w:rsid w:val="00137AB5"/>
    <w:rsid w:val="00137F0B"/>
    <w:rsid w:val="00146C69"/>
    <w:rsid w:val="00151554"/>
    <w:rsid w:val="00151D01"/>
    <w:rsid w:val="00151E23"/>
    <w:rsid w:val="001526E0"/>
    <w:rsid w:val="001551B5"/>
    <w:rsid w:val="00156966"/>
    <w:rsid w:val="00157BA8"/>
    <w:rsid w:val="0016143D"/>
    <w:rsid w:val="00163401"/>
    <w:rsid w:val="001659C1"/>
    <w:rsid w:val="00166607"/>
    <w:rsid w:val="00166DFB"/>
    <w:rsid w:val="001700E9"/>
    <w:rsid w:val="00170FF5"/>
    <w:rsid w:val="00172C7A"/>
    <w:rsid w:val="00172FDA"/>
    <w:rsid w:val="00173A8E"/>
    <w:rsid w:val="00173FE0"/>
    <w:rsid w:val="001747B9"/>
    <w:rsid w:val="0017502C"/>
    <w:rsid w:val="00180A6A"/>
    <w:rsid w:val="0018143F"/>
    <w:rsid w:val="00181AC7"/>
    <w:rsid w:val="00181CF9"/>
    <w:rsid w:val="00181FF8"/>
    <w:rsid w:val="001821BD"/>
    <w:rsid w:val="00183C9B"/>
    <w:rsid w:val="00184922"/>
    <w:rsid w:val="00186E12"/>
    <w:rsid w:val="001900E3"/>
    <w:rsid w:val="00190AC1"/>
    <w:rsid w:val="0019314C"/>
    <w:rsid w:val="0019341A"/>
    <w:rsid w:val="00194E3D"/>
    <w:rsid w:val="00195C4B"/>
    <w:rsid w:val="001960A1"/>
    <w:rsid w:val="0019625E"/>
    <w:rsid w:val="00197DF9"/>
    <w:rsid w:val="001A11F9"/>
    <w:rsid w:val="001A1987"/>
    <w:rsid w:val="001A1EE8"/>
    <w:rsid w:val="001A2564"/>
    <w:rsid w:val="001A42EA"/>
    <w:rsid w:val="001A47A8"/>
    <w:rsid w:val="001A6173"/>
    <w:rsid w:val="001A6CBA"/>
    <w:rsid w:val="001B0387"/>
    <w:rsid w:val="001B07CA"/>
    <w:rsid w:val="001B0D97"/>
    <w:rsid w:val="001B1C62"/>
    <w:rsid w:val="001B354F"/>
    <w:rsid w:val="001B5A5D"/>
    <w:rsid w:val="001C0AA9"/>
    <w:rsid w:val="001C1781"/>
    <w:rsid w:val="001C196F"/>
    <w:rsid w:val="001C1A81"/>
    <w:rsid w:val="001C1CE5"/>
    <w:rsid w:val="001C28BA"/>
    <w:rsid w:val="001C37F1"/>
    <w:rsid w:val="001C3D2A"/>
    <w:rsid w:val="001C737F"/>
    <w:rsid w:val="001C7CFA"/>
    <w:rsid w:val="001D0BE3"/>
    <w:rsid w:val="001D187A"/>
    <w:rsid w:val="001D4670"/>
    <w:rsid w:val="001D47A9"/>
    <w:rsid w:val="001D51BA"/>
    <w:rsid w:val="001D53E7"/>
    <w:rsid w:val="001D6342"/>
    <w:rsid w:val="001D6D53"/>
    <w:rsid w:val="001D7431"/>
    <w:rsid w:val="001E26CC"/>
    <w:rsid w:val="001E2838"/>
    <w:rsid w:val="001E4200"/>
    <w:rsid w:val="001E58E2"/>
    <w:rsid w:val="001E7AED"/>
    <w:rsid w:val="001E7E83"/>
    <w:rsid w:val="001F010E"/>
    <w:rsid w:val="001F0FA7"/>
    <w:rsid w:val="001F1766"/>
    <w:rsid w:val="001F1F89"/>
    <w:rsid w:val="001F20E5"/>
    <w:rsid w:val="001F2F75"/>
    <w:rsid w:val="001F3916"/>
    <w:rsid w:val="001F54C5"/>
    <w:rsid w:val="001F574E"/>
    <w:rsid w:val="001F6429"/>
    <w:rsid w:val="001F662C"/>
    <w:rsid w:val="001F7074"/>
    <w:rsid w:val="001F7FB1"/>
    <w:rsid w:val="00200490"/>
    <w:rsid w:val="002015BF"/>
    <w:rsid w:val="00201F3A"/>
    <w:rsid w:val="00203C6A"/>
    <w:rsid w:val="00203F96"/>
    <w:rsid w:val="002060F0"/>
    <w:rsid w:val="0020666F"/>
    <w:rsid w:val="00206759"/>
    <w:rsid w:val="002069B2"/>
    <w:rsid w:val="00207FA3"/>
    <w:rsid w:val="00213244"/>
    <w:rsid w:val="002133A3"/>
    <w:rsid w:val="00213C15"/>
    <w:rsid w:val="00214023"/>
    <w:rsid w:val="00214DA8"/>
    <w:rsid w:val="00215423"/>
    <w:rsid w:val="002158FA"/>
    <w:rsid w:val="00215B3D"/>
    <w:rsid w:val="0021716B"/>
    <w:rsid w:val="00220600"/>
    <w:rsid w:val="00220BBF"/>
    <w:rsid w:val="00221C73"/>
    <w:rsid w:val="002224DB"/>
    <w:rsid w:val="00223D99"/>
    <w:rsid w:val="00223FCB"/>
    <w:rsid w:val="002249A0"/>
    <w:rsid w:val="002252C3"/>
    <w:rsid w:val="002258CC"/>
    <w:rsid w:val="00225C54"/>
    <w:rsid w:val="00230765"/>
    <w:rsid w:val="00230D18"/>
    <w:rsid w:val="002319E4"/>
    <w:rsid w:val="00232FAF"/>
    <w:rsid w:val="00233E9C"/>
    <w:rsid w:val="00235632"/>
    <w:rsid w:val="00235872"/>
    <w:rsid w:val="00241559"/>
    <w:rsid w:val="002435B3"/>
    <w:rsid w:val="00243E7D"/>
    <w:rsid w:val="002458EB"/>
    <w:rsid w:val="00246271"/>
    <w:rsid w:val="002475BF"/>
    <w:rsid w:val="002500C8"/>
    <w:rsid w:val="002521E3"/>
    <w:rsid w:val="00257543"/>
    <w:rsid w:val="00257EC4"/>
    <w:rsid w:val="002604B8"/>
    <w:rsid w:val="002617E7"/>
    <w:rsid w:val="00262210"/>
    <w:rsid w:val="00262B6C"/>
    <w:rsid w:val="00263A7D"/>
    <w:rsid w:val="00264228"/>
    <w:rsid w:val="00264334"/>
    <w:rsid w:val="0026473E"/>
    <w:rsid w:val="00264D08"/>
    <w:rsid w:val="00265EB3"/>
    <w:rsid w:val="00266214"/>
    <w:rsid w:val="00267794"/>
    <w:rsid w:val="00267C0B"/>
    <w:rsid w:val="00267C83"/>
    <w:rsid w:val="00267E63"/>
    <w:rsid w:val="00270242"/>
    <w:rsid w:val="00270E64"/>
    <w:rsid w:val="0027144F"/>
    <w:rsid w:val="00271813"/>
    <w:rsid w:val="00271F3A"/>
    <w:rsid w:val="00272093"/>
    <w:rsid w:val="00273278"/>
    <w:rsid w:val="002737F4"/>
    <w:rsid w:val="002747D4"/>
    <w:rsid w:val="0027491E"/>
    <w:rsid w:val="002805F5"/>
    <w:rsid w:val="00280751"/>
    <w:rsid w:val="00280AB5"/>
    <w:rsid w:val="00281A53"/>
    <w:rsid w:val="0028280A"/>
    <w:rsid w:val="00283342"/>
    <w:rsid w:val="00286ACD"/>
    <w:rsid w:val="00286FFD"/>
    <w:rsid w:val="00287838"/>
    <w:rsid w:val="002878F6"/>
    <w:rsid w:val="00287FE4"/>
    <w:rsid w:val="002905FB"/>
    <w:rsid w:val="002907B5"/>
    <w:rsid w:val="00291A32"/>
    <w:rsid w:val="00291B3A"/>
    <w:rsid w:val="00292EB7"/>
    <w:rsid w:val="00295378"/>
    <w:rsid w:val="00296227"/>
    <w:rsid w:val="00296F44"/>
    <w:rsid w:val="002971B2"/>
    <w:rsid w:val="0029777D"/>
    <w:rsid w:val="002A055E"/>
    <w:rsid w:val="002A1507"/>
    <w:rsid w:val="002A1D4E"/>
    <w:rsid w:val="002A2869"/>
    <w:rsid w:val="002A33AB"/>
    <w:rsid w:val="002A4EC2"/>
    <w:rsid w:val="002A74D5"/>
    <w:rsid w:val="002A7D27"/>
    <w:rsid w:val="002B24D6"/>
    <w:rsid w:val="002B28E7"/>
    <w:rsid w:val="002B46C3"/>
    <w:rsid w:val="002B4EAB"/>
    <w:rsid w:val="002B69A0"/>
    <w:rsid w:val="002B78E7"/>
    <w:rsid w:val="002C27AA"/>
    <w:rsid w:val="002C302D"/>
    <w:rsid w:val="002C41E6"/>
    <w:rsid w:val="002C4984"/>
    <w:rsid w:val="002C5771"/>
    <w:rsid w:val="002C644B"/>
    <w:rsid w:val="002C7C91"/>
    <w:rsid w:val="002D071A"/>
    <w:rsid w:val="002D26DD"/>
    <w:rsid w:val="002D34B2"/>
    <w:rsid w:val="002D48B0"/>
    <w:rsid w:val="002D57BE"/>
    <w:rsid w:val="002D5B37"/>
    <w:rsid w:val="002D7637"/>
    <w:rsid w:val="002E111C"/>
    <w:rsid w:val="002E17F2"/>
    <w:rsid w:val="002E18B7"/>
    <w:rsid w:val="002E2BD2"/>
    <w:rsid w:val="002E4632"/>
    <w:rsid w:val="002E7811"/>
    <w:rsid w:val="002E7CAE"/>
    <w:rsid w:val="002F0F4D"/>
    <w:rsid w:val="002F229F"/>
    <w:rsid w:val="002F2613"/>
    <w:rsid w:val="002F271F"/>
    <w:rsid w:val="002F2771"/>
    <w:rsid w:val="002F37A9"/>
    <w:rsid w:val="002F4C29"/>
    <w:rsid w:val="002F65F4"/>
    <w:rsid w:val="003017C9"/>
    <w:rsid w:val="00301B53"/>
    <w:rsid w:val="00301CE6"/>
    <w:rsid w:val="0030256B"/>
    <w:rsid w:val="003035E0"/>
    <w:rsid w:val="00304F3F"/>
    <w:rsid w:val="0030501F"/>
    <w:rsid w:val="00307BA1"/>
    <w:rsid w:val="00307DC8"/>
    <w:rsid w:val="00311702"/>
    <w:rsid w:val="00311E82"/>
    <w:rsid w:val="00312FD9"/>
    <w:rsid w:val="00313A13"/>
    <w:rsid w:val="00313FD6"/>
    <w:rsid w:val="003143BD"/>
    <w:rsid w:val="00314C73"/>
    <w:rsid w:val="00315081"/>
    <w:rsid w:val="003150FA"/>
    <w:rsid w:val="00315363"/>
    <w:rsid w:val="003203ED"/>
    <w:rsid w:val="00322C9F"/>
    <w:rsid w:val="00323B65"/>
    <w:rsid w:val="00324D23"/>
    <w:rsid w:val="00325852"/>
    <w:rsid w:val="00325BD3"/>
    <w:rsid w:val="00326529"/>
    <w:rsid w:val="00327AB2"/>
    <w:rsid w:val="003302F0"/>
    <w:rsid w:val="00330FC6"/>
    <w:rsid w:val="00331751"/>
    <w:rsid w:val="003318FB"/>
    <w:rsid w:val="00333690"/>
    <w:rsid w:val="00334579"/>
    <w:rsid w:val="00335858"/>
    <w:rsid w:val="003358D9"/>
    <w:rsid w:val="00336A31"/>
    <w:rsid w:val="00336BDA"/>
    <w:rsid w:val="00336E26"/>
    <w:rsid w:val="003379F4"/>
    <w:rsid w:val="003400F9"/>
    <w:rsid w:val="0034108E"/>
    <w:rsid w:val="003417B9"/>
    <w:rsid w:val="00341F16"/>
    <w:rsid w:val="00342BD7"/>
    <w:rsid w:val="00345AE8"/>
    <w:rsid w:val="00346DB5"/>
    <w:rsid w:val="003477B1"/>
    <w:rsid w:val="003505BA"/>
    <w:rsid w:val="00351902"/>
    <w:rsid w:val="003533FA"/>
    <w:rsid w:val="0035395A"/>
    <w:rsid w:val="00353C6D"/>
    <w:rsid w:val="003558F6"/>
    <w:rsid w:val="00357380"/>
    <w:rsid w:val="00357A96"/>
    <w:rsid w:val="003602D9"/>
    <w:rsid w:val="003604CE"/>
    <w:rsid w:val="00367B68"/>
    <w:rsid w:val="0037078A"/>
    <w:rsid w:val="00370E47"/>
    <w:rsid w:val="0037230A"/>
    <w:rsid w:val="00372996"/>
    <w:rsid w:val="00372F7E"/>
    <w:rsid w:val="003742AC"/>
    <w:rsid w:val="00375336"/>
    <w:rsid w:val="00377A31"/>
    <w:rsid w:val="00377CE1"/>
    <w:rsid w:val="003815B5"/>
    <w:rsid w:val="00384667"/>
    <w:rsid w:val="00385BF0"/>
    <w:rsid w:val="0039158D"/>
    <w:rsid w:val="003939FF"/>
    <w:rsid w:val="003A01AD"/>
    <w:rsid w:val="003A0FA7"/>
    <w:rsid w:val="003A1543"/>
    <w:rsid w:val="003A2223"/>
    <w:rsid w:val="003A28B8"/>
    <w:rsid w:val="003A2A0F"/>
    <w:rsid w:val="003A4425"/>
    <w:rsid w:val="003A45A1"/>
    <w:rsid w:val="003A4D0B"/>
    <w:rsid w:val="003A5B0A"/>
    <w:rsid w:val="003A5FBE"/>
    <w:rsid w:val="003A689D"/>
    <w:rsid w:val="003A6BAC"/>
    <w:rsid w:val="003A6E90"/>
    <w:rsid w:val="003A70A4"/>
    <w:rsid w:val="003A7EF3"/>
    <w:rsid w:val="003B0AA7"/>
    <w:rsid w:val="003B0D43"/>
    <w:rsid w:val="003B159C"/>
    <w:rsid w:val="003B2CF7"/>
    <w:rsid w:val="003B369F"/>
    <w:rsid w:val="003B36A3"/>
    <w:rsid w:val="003B37D3"/>
    <w:rsid w:val="003B4630"/>
    <w:rsid w:val="003B4DD8"/>
    <w:rsid w:val="003B64BB"/>
    <w:rsid w:val="003B721B"/>
    <w:rsid w:val="003B7FE5"/>
    <w:rsid w:val="003C08E3"/>
    <w:rsid w:val="003C11C8"/>
    <w:rsid w:val="003C19B9"/>
    <w:rsid w:val="003C2702"/>
    <w:rsid w:val="003C3726"/>
    <w:rsid w:val="003C4F93"/>
    <w:rsid w:val="003C7806"/>
    <w:rsid w:val="003D109F"/>
    <w:rsid w:val="003D1DDC"/>
    <w:rsid w:val="003D2478"/>
    <w:rsid w:val="003D2D90"/>
    <w:rsid w:val="003D3C45"/>
    <w:rsid w:val="003D5B1F"/>
    <w:rsid w:val="003E15FA"/>
    <w:rsid w:val="003E3610"/>
    <w:rsid w:val="003E55E4"/>
    <w:rsid w:val="003E5A5C"/>
    <w:rsid w:val="003E6DE1"/>
    <w:rsid w:val="003E74E3"/>
    <w:rsid w:val="003F05C7"/>
    <w:rsid w:val="003F1B6C"/>
    <w:rsid w:val="003F2BF3"/>
    <w:rsid w:val="003F2CD4"/>
    <w:rsid w:val="003F490B"/>
    <w:rsid w:val="003F4C2C"/>
    <w:rsid w:val="003F5257"/>
    <w:rsid w:val="003F6BBE"/>
    <w:rsid w:val="004000E8"/>
    <w:rsid w:val="004003FF"/>
    <w:rsid w:val="00402E2B"/>
    <w:rsid w:val="00403CC6"/>
    <w:rsid w:val="0040512B"/>
    <w:rsid w:val="00405CA5"/>
    <w:rsid w:val="0040744A"/>
    <w:rsid w:val="00407CD3"/>
    <w:rsid w:val="00410134"/>
    <w:rsid w:val="00410B72"/>
    <w:rsid w:val="00410F18"/>
    <w:rsid w:val="00411B2A"/>
    <w:rsid w:val="0041263E"/>
    <w:rsid w:val="00413AAC"/>
    <w:rsid w:val="00413E92"/>
    <w:rsid w:val="00417A70"/>
    <w:rsid w:val="00421105"/>
    <w:rsid w:val="0042122C"/>
    <w:rsid w:val="00421245"/>
    <w:rsid w:val="0042196D"/>
    <w:rsid w:val="00422AA4"/>
    <w:rsid w:val="004232B9"/>
    <w:rsid w:val="00423A87"/>
    <w:rsid w:val="00423DBE"/>
    <w:rsid w:val="004242F4"/>
    <w:rsid w:val="004247CC"/>
    <w:rsid w:val="00425DD1"/>
    <w:rsid w:val="00426C39"/>
    <w:rsid w:val="00427248"/>
    <w:rsid w:val="004307E1"/>
    <w:rsid w:val="00430D8F"/>
    <w:rsid w:val="00434F70"/>
    <w:rsid w:val="00437447"/>
    <w:rsid w:val="00441019"/>
    <w:rsid w:val="00441A92"/>
    <w:rsid w:val="004431DC"/>
    <w:rsid w:val="0044473E"/>
    <w:rsid w:val="00444F56"/>
    <w:rsid w:val="00445341"/>
    <w:rsid w:val="004460FB"/>
    <w:rsid w:val="00446488"/>
    <w:rsid w:val="00446710"/>
    <w:rsid w:val="00447DA0"/>
    <w:rsid w:val="004517AA"/>
    <w:rsid w:val="004526DA"/>
    <w:rsid w:val="00452CAC"/>
    <w:rsid w:val="004536E8"/>
    <w:rsid w:val="00455799"/>
    <w:rsid w:val="00456A68"/>
    <w:rsid w:val="004572DE"/>
    <w:rsid w:val="00457565"/>
    <w:rsid w:val="00457B71"/>
    <w:rsid w:val="00462285"/>
    <w:rsid w:val="004627DE"/>
    <w:rsid w:val="00462880"/>
    <w:rsid w:val="004643EF"/>
    <w:rsid w:val="00465C4A"/>
    <w:rsid w:val="00465CEA"/>
    <w:rsid w:val="004669E2"/>
    <w:rsid w:val="00466DA3"/>
    <w:rsid w:val="00470C31"/>
    <w:rsid w:val="004714B6"/>
    <w:rsid w:val="004718CA"/>
    <w:rsid w:val="00471DE0"/>
    <w:rsid w:val="0047254C"/>
    <w:rsid w:val="004729F8"/>
    <w:rsid w:val="004734D0"/>
    <w:rsid w:val="0047556B"/>
    <w:rsid w:val="00476AF8"/>
    <w:rsid w:val="00477768"/>
    <w:rsid w:val="00477C74"/>
    <w:rsid w:val="004843BD"/>
    <w:rsid w:val="00484C6B"/>
    <w:rsid w:val="0048585C"/>
    <w:rsid w:val="00486E94"/>
    <w:rsid w:val="004918DC"/>
    <w:rsid w:val="00492506"/>
    <w:rsid w:val="00492BC5"/>
    <w:rsid w:val="00495F25"/>
    <w:rsid w:val="004964F1"/>
    <w:rsid w:val="00497CCB"/>
    <w:rsid w:val="004A0F0C"/>
    <w:rsid w:val="004A128C"/>
    <w:rsid w:val="004A130E"/>
    <w:rsid w:val="004A16BC"/>
    <w:rsid w:val="004A2B94"/>
    <w:rsid w:val="004A2BED"/>
    <w:rsid w:val="004A3521"/>
    <w:rsid w:val="004A3C56"/>
    <w:rsid w:val="004A4953"/>
    <w:rsid w:val="004A55E5"/>
    <w:rsid w:val="004A7240"/>
    <w:rsid w:val="004B2A69"/>
    <w:rsid w:val="004B3FA2"/>
    <w:rsid w:val="004B580C"/>
    <w:rsid w:val="004B6F6A"/>
    <w:rsid w:val="004B7C0C"/>
    <w:rsid w:val="004C1D75"/>
    <w:rsid w:val="004C3711"/>
    <w:rsid w:val="004C3898"/>
    <w:rsid w:val="004C53EF"/>
    <w:rsid w:val="004C61D8"/>
    <w:rsid w:val="004C6B66"/>
    <w:rsid w:val="004D114E"/>
    <w:rsid w:val="004D36B1"/>
    <w:rsid w:val="004D6DB7"/>
    <w:rsid w:val="004D7EBD"/>
    <w:rsid w:val="004E072D"/>
    <w:rsid w:val="004E2680"/>
    <w:rsid w:val="004E28F9"/>
    <w:rsid w:val="004E308F"/>
    <w:rsid w:val="004E3838"/>
    <w:rsid w:val="004E3A63"/>
    <w:rsid w:val="004E462E"/>
    <w:rsid w:val="004E52A9"/>
    <w:rsid w:val="004E56DC"/>
    <w:rsid w:val="004E572B"/>
    <w:rsid w:val="004E76F4"/>
    <w:rsid w:val="004F0B4E"/>
    <w:rsid w:val="004F0B6C"/>
    <w:rsid w:val="004F140F"/>
    <w:rsid w:val="004F2078"/>
    <w:rsid w:val="004F3ED1"/>
    <w:rsid w:val="004F4DA3"/>
    <w:rsid w:val="004F7147"/>
    <w:rsid w:val="00501C1D"/>
    <w:rsid w:val="00505790"/>
    <w:rsid w:val="00506557"/>
    <w:rsid w:val="0050677A"/>
    <w:rsid w:val="005108D8"/>
    <w:rsid w:val="005116F9"/>
    <w:rsid w:val="00512A25"/>
    <w:rsid w:val="005153A7"/>
    <w:rsid w:val="00517B0B"/>
    <w:rsid w:val="00521341"/>
    <w:rsid w:val="005219CF"/>
    <w:rsid w:val="0053257E"/>
    <w:rsid w:val="00534B59"/>
    <w:rsid w:val="00536759"/>
    <w:rsid w:val="00537058"/>
    <w:rsid w:val="00537378"/>
    <w:rsid w:val="00537C62"/>
    <w:rsid w:val="00545617"/>
    <w:rsid w:val="00546970"/>
    <w:rsid w:val="00546F8C"/>
    <w:rsid w:val="0054717B"/>
    <w:rsid w:val="0055087F"/>
    <w:rsid w:val="0055129A"/>
    <w:rsid w:val="005530DD"/>
    <w:rsid w:val="00554961"/>
    <w:rsid w:val="00554E19"/>
    <w:rsid w:val="0055597A"/>
    <w:rsid w:val="0055647C"/>
    <w:rsid w:val="00556711"/>
    <w:rsid w:val="00557DFB"/>
    <w:rsid w:val="0056121F"/>
    <w:rsid w:val="00562C12"/>
    <w:rsid w:val="005631B4"/>
    <w:rsid w:val="005633D6"/>
    <w:rsid w:val="00563D70"/>
    <w:rsid w:val="00564CBA"/>
    <w:rsid w:val="00570782"/>
    <w:rsid w:val="00572505"/>
    <w:rsid w:val="0057299E"/>
    <w:rsid w:val="00577757"/>
    <w:rsid w:val="00577C91"/>
    <w:rsid w:val="005802B4"/>
    <w:rsid w:val="00581F29"/>
    <w:rsid w:val="00582809"/>
    <w:rsid w:val="0058332D"/>
    <w:rsid w:val="005867DE"/>
    <w:rsid w:val="0058798C"/>
    <w:rsid w:val="005900FA"/>
    <w:rsid w:val="005901FD"/>
    <w:rsid w:val="0059049B"/>
    <w:rsid w:val="005935A4"/>
    <w:rsid w:val="00593A40"/>
    <w:rsid w:val="00594780"/>
    <w:rsid w:val="005948C2"/>
    <w:rsid w:val="00595DCA"/>
    <w:rsid w:val="00595F2E"/>
    <w:rsid w:val="005968D0"/>
    <w:rsid w:val="0059729E"/>
    <w:rsid w:val="0059779B"/>
    <w:rsid w:val="005A053C"/>
    <w:rsid w:val="005A1DE5"/>
    <w:rsid w:val="005A1FAD"/>
    <w:rsid w:val="005A209A"/>
    <w:rsid w:val="005A37C7"/>
    <w:rsid w:val="005A48FF"/>
    <w:rsid w:val="005A662D"/>
    <w:rsid w:val="005A7CC0"/>
    <w:rsid w:val="005B01C8"/>
    <w:rsid w:val="005B03D4"/>
    <w:rsid w:val="005B1409"/>
    <w:rsid w:val="005B1CAE"/>
    <w:rsid w:val="005B28E4"/>
    <w:rsid w:val="005B35D7"/>
    <w:rsid w:val="005B392A"/>
    <w:rsid w:val="005B3AA3"/>
    <w:rsid w:val="005B4690"/>
    <w:rsid w:val="005B5465"/>
    <w:rsid w:val="005B5EBB"/>
    <w:rsid w:val="005B6058"/>
    <w:rsid w:val="005B6F83"/>
    <w:rsid w:val="005B7B9E"/>
    <w:rsid w:val="005B7CBE"/>
    <w:rsid w:val="005C0132"/>
    <w:rsid w:val="005C0AE6"/>
    <w:rsid w:val="005C27EB"/>
    <w:rsid w:val="005C2F0A"/>
    <w:rsid w:val="005C4545"/>
    <w:rsid w:val="005C74FB"/>
    <w:rsid w:val="005D01F2"/>
    <w:rsid w:val="005D1602"/>
    <w:rsid w:val="005D1E04"/>
    <w:rsid w:val="005E076B"/>
    <w:rsid w:val="005E2171"/>
    <w:rsid w:val="005E385F"/>
    <w:rsid w:val="005E59F7"/>
    <w:rsid w:val="005E5B81"/>
    <w:rsid w:val="005E66D9"/>
    <w:rsid w:val="005F0D68"/>
    <w:rsid w:val="005F2550"/>
    <w:rsid w:val="005F2CB1"/>
    <w:rsid w:val="005F3025"/>
    <w:rsid w:val="005F618C"/>
    <w:rsid w:val="005F70BD"/>
    <w:rsid w:val="005F746C"/>
    <w:rsid w:val="006001F6"/>
    <w:rsid w:val="0060283C"/>
    <w:rsid w:val="00604F14"/>
    <w:rsid w:val="00605146"/>
    <w:rsid w:val="0060539E"/>
    <w:rsid w:val="00611B83"/>
    <w:rsid w:val="00613257"/>
    <w:rsid w:val="00613F09"/>
    <w:rsid w:val="00614E66"/>
    <w:rsid w:val="00616AD6"/>
    <w:rsid w:val="00620203"/>
    <w:rsid w:val="00620A71"/>
    <w:rsid w:val="00620D80"/>
    <w:rsid w:val="00622EEA"/>
    <w:rsid w:val="00622FF2"/>
    <w:rsid w:val="006234A6"/>
    <w:rsid w:val="00624E05"/>
    <w:rsid w:val="00630001"/>
    <w:rsid w:val="006311B3"/>
    <w:rsid w:val="0063244A"/>
    <w:rsid w:val="00632823"/>
    <w:rsid w:val="0063284C"/>
    <w:rsid w:val="00635DF2"/>
    <w:rsid w:val="00636398"/>
    <w:rsid w:val="006368D3"/>
    <w:rsid w:val="0063773D"/>
    <w:rsid w:val="006377EC"/>
    <w:rsid w:val="0064151F"/>
    <w:rsid w:val="00641533"/>
    <w:rsid w:val="006416FE"/>
    <w:rsid w:val="0064208D"/>
    <w:rsid w:val="00643475"/>
    <w:rsid w:val="0064396A"/>
    <w:rsid w:val="00643DDE"/>
    <w:rsid w:val="00645671"/>
    <w:rsid w:val="0064569D"/>
    <w:rsid w:val="0064622C"/>
    <w:rsid w:val="0064624E"/>
    <w:rsid w:val="006469B3"/>
    <w:rsid w:val="00650AB9"/>
    <w:rsid w:val="006523C0"/>
    <w:rsid w:val="00652480"/>
    <w:rsid w:val="00653909"/>
    <w:rsid w:val="006556DB"/>
    <w:rsid w:val="00655733"/>
    <w:rsid w:val="00655ACD"/>
    <w:rsid w:val="006569D0"/>
    <w:rsid w:val="00656A92"/>
    <w:rsid w:val="00656DDE"/>
    <w:rsid w:val="0065753D"/>
    <w:rsid w:val="006578AF"/>
    <w:rsid w:val="0066011D"/>
    <w:rsid w:val="006607C0"/>
    <w:rsid w:val="006613A6"/>
    <w:rsid w:val="006617B8"/>
    <w:rsid w:val="00661ACB"/>
    <w:rsid w:val="006627A2"/>
    <w:rsid w:val="006634E6"/>
    <w:rsid w:val="00664C1A"/>
    <w:rsid w:val="00664E50"/>
    <w:rsid w:val="006655EE"/>
    <w:rsid w:val="00665E53"/>
    <w:rsid w:val="00666BE8"/>
    <w:rsid w:val="00667041"/>
    <w:rsid w:val="00667550"/>
    <w:rsid w:val="00667EE7"/>
    <w:rsid w:val="00670922"/>
    <w:rsid w:val="00670BE1"/>
    <w:rsid w:val="00671EDD"/>
    <w:rsid w:val="0067218F"/>
    <w:rsid w:val="006721E3"/>
    <w:rsid w:val="006741F2"/>
    <w:rsid w:val="006743B0"/>
    <w:rsid w:val="00674CC3"/>
    <w:rsid w:val="00675C72"/>
    <w:rsid w:val="0067702C"/>
    <w:rsid w:val="006771F9"/>
    <w:rsid w:val="006776D7"/>
    <w:rsid w:val="00681003"/>
    <w:rsid w:val="006817C9"/>
    <w:rsid w:val="00683184"/>
    <w:rsid w:val="00683ECE"/>
    <w:rsid w:val="006846A7"/>
    <w:rsid w:val="00690F28"/>
    <w:rsid w:val="0069589E"/>
    <w:rsid w:val="00695FC2"/>
    <w:rsid w:val="00696949"/>
    <w:rsid w:val="00696EF7"/>
    <w:rsid w:val="00697052"/>
    <w:rsid w:val="006A0CD9"/>
    <w:rsid w:val="006A18CE"/>
    <w:rsid w:val="006A203B"/>
    <w:rsid w:val="006A299B"/>
    <w:rsid w:val="006A46FB"/>
    <w:rsid w:val="006A5E28"/>
    <w:rsid w:val="006A6736"/>
    <w:rsid w:val="006A697B"/>
    <w:rsid w:val="006A6D00"/>
    <w:rsid w:val="006A7AFF"/>
    <w:rsid w:val="006B1816"/>
    <w:rsid w:val="006B1B69"/>
    <w:rsid w:val="006B2099"/>
    <w:rsid w:val="006B3661"/>
    <w:rsid w:val="006B3670"/>
    <w:rsid w:val="006B5002"/>
    <w:rsid w:val="006B50CF"/>
    <w:rsid w:val="006B5901"/>
    <w:rsid w:val="006C03B8"/>
    <w:rsid w:val="006C05CE"/>
    <w:rsid w:val="006C1DE4"/>
    <w:rsid w:val="006C41F3"/>
    <w:rsid w:val="006C44DA"/>
    <w:rsid w:val="006C4869"/>
    <w:rsid w:val="006C4D06"/>
    <w:rsid w:val="006C4F1B"/>
    <w:rsid w:val="006C5EC9"/>
    <w:rsid w:val="006C6059"/>
    <w:rsid w:val="006C7396"/>
    <w:rsid w:val="006C7522"/>
    <w:rsid w:val="006D5340"/>
    <w:rsid w:val="006D647D"/>
    <w:rsid w:val="006D6E7D"/>
    <w:rsid w:val="006D6F08"/>
    <w:rsid w:val="006E035B"/>
    <w:rsid w:val="006E062C"/>
    <w:rsid w:val="006E0684"/>
    <w:rsid w:val="006E1C82"/>
    <w:rsid w:val="006E28B7"/>
    <w:rsid w:val="006E2A9B"/>
    <w:rsid w:val="006E3310"/>
    <w:rsid w:val="006E3543"/>
    <w:rsid w:val="006E4E39"/>
    <w:rsid w:val="006E565E"/>
    <w:rsid w:val="006E673D"/>
    <w:rsid w:val="006E7D3B"/>
    <w:rsid w:val="006F1B70"/>
    <w:rsid w:val="006F1C0E"/>
    <w:rsid w:val="006F341D"/>
    <w:rsid w:val="006F3CDE"/>
    <w:rsid w:val="006F58D4"/>
    <w:rsid w:val="006F5DF6"/>
    <w:rsid w:val="006F6582"/>
    <w:rsid w:val="006F74D5"/>
    <w:rsid w:val="0070346E"/>
    <w:rsid w:val="00704754"/>
    <w:rsid w:val="00704EDB"/>
    <w:rsid w:val="00706101"/>
    <w:rsid w:val="00707072"/>
    <w:rsid w:val="00707D61"/>
    <w:rsid w:val="00707DBC"/>
    <w:rsid w:val="00710E0D"/>
    <w:rsid w:val="00712287"/>
    <w:rsid w:val="00712772"/>
    <w:rsid w:val="0071280B"/>
    <w:rsid w:val="007133D7"/>
    <w:rsid w:val="007135B8"/>
    <w:rsid w:val="00713F46"/>
    <w:rsid w:val="007142F5"/>
    <w:rsid w:val="007148D3"/>
    <w:rsid w:val="0071500B"/>
    <w:rsid w:val="007152D9"/>
    <w:rsid w:val="007152F3"/>
    <w:rsid w:val="00715B9A"/>
    <w:rsid w:val="00716800"/>
    <w:rsid w:val="007216AE"/>
    <w:rsid w:val="00722D5A"/>
    <w:rsid w:val="00724DD3"/>
    <w:rsid w:val="007257D0"/>
    <w:rsid w:val="00726EA6"/>
    <w:rsid w:val="00727208"/>
    <w:rsid w:val="00727680"/>
    <w:rsid w:val="007348B1"/>
    <w:rsid w:val="007362A6"/>
    <w:rsid w:val="007367E9"/>
    <w:rsid w:val="00736D7D"/>
    <w:rsid w:val="00740E58"/>
    <w:rsid w:val="00741C00"/>
    <w:rsid w:val="007445A0"/>
    <w:rsid w:val="0074524B"/>
    <w:rsid w:val="00747D8B"/>
    <w:rsid w:val="007506E3"/>
    <w:rsid w:val="00751228"/>
    <w:rsid w:val="0075182F"/>
    <w:rsid w:val="0075436C"/>
    <w:rsid w:val="00756010"/>
    <w:rsid w:val="00756367"/>
    <w:rsid w:val="007571E1"/>
    <w:rsid w:val="007576E0"/>
    <w:rsid w:val="007604B2"/>
    <w:rsid w:val="0076084D"/>
    <w:rsid w:val="00763100"/>
    <w:rsid w:val="00765281"/>
    <w:rsid w:val="007656E2"/>
    <w:rsid w:val="00765ADB"/>
    <w:rsid w:val="00765F2F"/>
    <w:rsid w:val="00766BAD"/>
    <w:rsid w:val="007701F1"/>
    <w:rsid w:val="007705DA"/>
    <w:rsid w:val="00772365"/>
    <w:rsid w:val="007729A2"/>
    <w:rsid w:val="00774B35"/>
    <w:rsid w:val="007755F2"/>
    <w:rsid w:val="00775C6B"/>
    <w:rsid w:val="00776971"/>
    <w:rsid w:val="007778D3"/>
    <w:rsid w:val="00780A80"/>
    <w:rsid w:val="00780DD8"/>
    <w:rsid w:val="0078177E"/>
    <w:rsid w:val="0078304C"/>
    <w:rsid w:val="00783673"/>
    <w:rsid w:val="00784AAF"/>
    <w:rsid w:val="00784F07"/>
    <w:rsid w:val="00785490"/>
    <w:rsid w:val="00786C30"/>
    <w:rsid w:val="007876ED"/>
    <w:rsid w:val="0079171D"/>
    <w:rsid w:val="00791CE8"/>
    <w:rsid w:val="007925EA"/>
    <w:rsid w:val="0079375B"/>
    <w:rsid w:val="00793CD8"/>
    <w:rsid w:val="00793F37"/>
    <w:rsid w:val="007941DC"/>
    <w:rsid w:val="00794E21"/>
    <w:rsid w:val="00795361"/>
    <w:rsid w:val="00795C92"/>
    <w:rsid w:val="00796231"/>
    <w:rsid w:val="007A0D8F"/>
    <w:rsid w:val="007A1CB3"/>
    <w:rsid w:val="007A28FD"/>
    <w:rsid w:val="007A2F5F"/>
    <w:rsid w:val="007A306F"/>
    <w:rsid w:val="007A3F5E"/>
    <w:rsid w:val="007A43A6"/>
    <w:rsid w:val="007A441F"/>
    <w:rsid w:val="007A483A"/>
    <w:rsid w:val="007A58A6"/>
    <w:rsid w:val="007A6687"/>
    <w:rsid w:val="007A6C58"/>
    <w:rsid w:val="007A7185"/>
    <w:rsid w:val="007A71B5"/>
    <w:rsid w:val="007A7A3F"/>
    <w:rsid w:val="007B3D2D"/>
    <w:rsid w:val="007B50AE"/>
    <w:rsid w:val="007B51DF"/>
    <w:rsid w:val="007B5923"/>
    <w:rsid w:val="007B6D1E"/>
    <w:rsid w:val="007C05DD"/>
    <w:rsid w:val="007C198D"/>
    <w:rsid w:val="007C2AC7"/>
    <w:rsid w:val="007C37C1"/>
    <w:rsid w:val="007C3D18"/>
    <w:rsid w:val="007C46E0"/>
    <w:rsid w:val="007C4E08"/>
    <w:rsid w:val="007C5AAD"/>
    <w:rsid w:val="007C60BF"/>
    <w:rsid w:val="007C6A07"/>
    <w:rsid w:val="007C75A1"/>
    <w:rsid w:val="007C77A5"/>
    <w:rsid w:val="007C7D6C"/>
    <w:rsid w:val="007D04E5"/>
    <w:rsid w:val="007D23AD"/>
    <w:rsid w:val="007D35C0"/>
    <w:rsid w:val="007D3AF3"/>
    <w:rsid w:val="007D3B7A"/>
    <w:rsid w:val="007D4358"/>
    <w:rsid w:val="007D4A34"/>
    <w:rsid w:val="007D5505"/>
    <w:rsid w:val="007D5901"/>
    <w:rsid w:val="007D5C10"/>
    <w:rsid w:val="007D5DFB"/>
    <w:rsid w:val="007D7526"/>
    <w:rsid w:val="007D7801"/>
    <w:rsid w:val="007D7B85"/>
    <w:rsid w:val="007E01F9"/>
    <w:rsid w:val="007E1B75"/>
    <w:rsid w:val="007E4610"/>
    <w:rsid w:val="007E4715"/>
    <w:rsid w:val="007E4A58"/>
    <w:rsid w:val="007E505B"/>
    <w:rsid w:val="007E7091"/>
    <w:rsid w:val="007E73E6"/>
    <w:rsid w:val="007F0CD7"/>
    <w:rsid w:val="007F14FF"/>
    <w:rsid w:val="007F1E8A"/>
    <w:rsid w:val="007F421A"/>
    <w:rsid w:val="007F4B69"/>
    <w:rsid w:val="007F6B58"/>
    <w:rsid w:val="007F6FFA"/>
    <w:rsid w:val="007F74F0"/>
    <w:rsid w:val="007F7AD6"/>
    <w:rsid w:val="00800C6C"/>
    <w:rsid w:val="00801E75"/>
    <w:rsid w:val="0080323E"/>
    <w:rsid w:val="00803D6F"/>
    <w:rsid w:val="00803FAE"/>
    <w:rsid w:val="0080605F"/>
    <w:rsid w:val="00807786"/>
    <w:rsid w:val="0081037C"/>
    <w:rsid w:val="008110D2"/>
    <w:rsid w:val="00811FCB"/>
    <w:rsid w:val="00813424"/>
    <w:rsid w:val="00814686"/>
    <w:rsid w:val="008158D6"/>
    <w:rsid w:val="00815A9D"/>
    <w:rsid w:val="00817041"/>
    <w:rsid w:val="00817196"/>
    <w:rsid w:val="008172AE"/>
    <w:rsid w:val="008208EF"/>
    <w:rsid w:val="008214CF"/>
    <w:rsid w:val="008235DB"/>
    <w:rsid w:val="00824AB4"/>
    <w:rsid w:val="00825C42"/>
    <w:rsid w:val="00825D25"/>
    <w:rsid w:val="00827D6F"/>
    <w:rsid w:val="00827EAF"/>
    <w:rsid w:val="008327BF"/>
    <w:rsid w:val="00835488"/>
    <w:rsid w:val="0083599A"/>
    <w:rsid w:val="008376AC"/>
    <w:rsid w:val="00837C7D"/>
    <w:rsid w:val="00841F3E"/>
    <w:rsid w:val="008444E8"/>
    <w:rsid w:val="00844E80"/>
    <w:rsid w:val="0084540C"/>
    <w:rsid w:val="008455CB"/>
    <w:rsid w:val="00846520"/>
    <w:rsid w:val="00846FE7"/>
    <w:rsid w:val="008475D4"/>
    <w:rsid w:val="00850D16"/>
    <w:rsid w:val="008523BA"/>
    <w:rsid w:val="0085406A"/>
    <w:rsid w:val="008567BB"/>
    <w:rsid w:val="00856911"/>
    <w:rsid w:val="008578D7"/>
    <w:rsid w:val="00862290"/>
    <w:rsid w:val="00862FDC"/>
    <w:rsid w:val="00863A07"/>
    <w:rsid w:val="008640D0"/>
    <w:rsid w:val="0086686F"/>
    <w:rsid w:val="00867182"/>
    <w:rsid w:val="008677FD"/>
    <w:rsid w:val="00867A03"/>
    <w:rsid w:val="008706D4"/>
    <w:rsid w:val="00870E51"/>
    <w:rsid w:val="00870F8A"/>
    <w:rsid w:val="008719A4"/>
    <w:rsid w:val="00871D23"/>
    <w:rsid w:val="008721AB"/>
    <w:rsid w:val="008738A4"/>
    <w:rsid w:val="00874312"/>
    <w:rsid w:val="0087437C"/>
    <w:rsid w:val="00874E12"/>
    <w:rsid w:val="00874FF9"/>
    <w:rsid w:val="00875CD7"/>
    <w:rsid w:val="00876916"/>
    <w:rsid w:val="00876B4D"/>
    <w:rsid w:val="0087790B"/>
    <w:rsid w:val="00877F18"/>
    <w:rsid w:val="00880223"/>
    <w:rsid w:val="00880ACE"/>
    <w:rsid w:val="00881725"/>
    <w:rsid w:val="00882EF2"/>
    <w:rsid w:val="00887EDE"/>
    <w:rsid w:val="00890B40"/>
    <w:rsid w:val="00891464"/>
    <w:rsid w:val="00891D52"/>
    <w:rsid w:val="00892A12"/>
    <w:rsid w:val="008941E3"/>
    <w:rsid w:val="00894A88"/>
    <w:rsid w:val="00895386"/>
    <w:rsid w:val="008961F9"/>
    <w:rsid w:val="00896E57"/>
    <w:rsid w:val="008A1DAD"/>
    <w:rsid w:val="008A1EE3"/>
    <w:rsid w:val="008A21FF"/>
    <w:rsid w:val="008A2CE2"/>
    <w:rsid w:val="008A30AC"/>
    <w:rsid w:val="008A30F9"/>
    <w:rsid w:val="008A44B8"/>
    <w:rsid w:val="008A4A5C"/>
    <w:rsid w:val="008A51A8"/>
    <w:rsid w:val="008A54C7"/>
    <w:rsid w:val="008A555F"/>
    <w:rsid w:val="008A6BFA"/>
    <w:rsid w:val="008A760F"/>
    <w:rsid w:val="008A77D8"/>
    <w:rsid w:val="008B0079"/>
    <w:rsid w:val="008B0483"/>
    <w:rsid w:val="008B120C"/>
    <w:rsid w:val="008B1530"/>
    <w:rsid w:val="008B1B3E"/>
    <w:rsid w:val="008B3652"/>
    <w:rsid w:val="008B45D1"/>
    <w:rsid w:val="008B51A0"/>
    <w:rsid w:val="008B53DA"/>
    <w:rsid w:val="008B592A"/>
    <w:rsid w:val="008B7B5C"/>
    <w:rsid w:val="008B7F39"/>
    <w:rsid w:val="008C000F"/>
    <w:rsid w:val="008C0734"/>
    <w:rsid w:val="008C0C99"/>
    <w:rsid w:val="008C1800"/>
    <w:rsid w:val="008C2017"/>
    <w:rsid w:val="008C2584"/>
    <w:rsid w:val="008C3D51"/>
    <w:rsid w:val="008C4958"/>
    <w:rsid w:val="008C4BAA"/>
    <w:rsid w:val="008C68BF"/>
    <w:rsid w:val="008C6AE8"/>
    <w:rsid w:val="008C7573"/>
    <w:rsid w:val="008D00A5"/>
    <w:rsid w:val="008D34F1"/>
    <w:rsid w:val="008D39D8"/>
    <w:rsid w:val="008D5AC1"/>
    <w:rsid w:val="008D654B"/>
    <w:rsid w:val="008D66F9"/>
    <w:rsid w:val="008D6A64"/>
    <w:rsid w:val="008D6D1A"/>
    <w:rsid w:val="008D7C00"/>
    <w:rsid w:val="008E065E"/>
    <w:rsid w:val="008E07A7"/>
    <w:rsid w:val="008E0927"/>
    <w:rsid w:val="008E0FBB"/>
    <w:rsid w:val="008E1909"/>
    <w:rsid w:val="008E28FA"/>
    <w:rsid w:val="008E3956"/>
    <w:rsid w:val="008E42B4"/>
    <w:rsid w:val="008E7BA1"/>
    <w:rsid w:val="008F1C4E"/>
    <w:rsid w:val="008F1EAB"/>
    <w:rsid w:val="008F2233"/>
    <w:rsid w:val="008F2ED0"/>
    <w:rsid w:val="008F33DC"/>
    <w:rsid w:val="008F469B"/>
    <w:rsid w:val="008F477F"/>
    <w:rsid w:val="008F4977"/>
    <w:rsid w:val="00900B1F"/>
    <w:rsid w:val="00902350"/>
    <w:rsid w:val="0090336B"/>
    <w:rsid w:val="009041D9"/>
    <w:rsid w:val="009053AA"/>
    <w:rsid w:val="009068D5"/>
    <w:rsid w:val="00906939"/>
    <w:rsid w:val="00906ECC"/>
    <w:rsid w:val="009103DD"/>
    <w:rsid w:val="00910B7D"/>
    <w:rsid w:val="00910CDF"/>
    <w:rsid w:val="00910DC9"/>
    <w:rsid w:val="00911DFB"/>
    <w:rsid w:val="009139D9"/>
    <w:rsid w:val="00914AD8"/>
    <w:rsid w:val="00914D2A"/>
    <w:rsid w:val="00916079"/>
    <w:rsid w:val="00917CE9"/>
    <w:rsid w:val="00920BF2"/>
    <w:rsid w:val="0092102C"/>
    <w:rsid w:val="00922010"/>
    <w:rsid w:val="00925088"/>
    <w:rsid w:val="00927A8B"/>
    <w:rsid w:val="00930F86"/>
    <w:rsid w:val="009317FA"/>
    <w:rsid w:val="00931BD9"/>
    <w:rsid w:val="00931D16"/>
    <w:rsid w:val="009341DA"/>
    <w:rsid w:val="0093564E"/>
    <w:rsid w:val="009363E8"/>
    <w:rsid w:val="009368F3"/>
    <w:rsid w:val="00941636"/>
    <w:rsid w:val="009433CF"/>
    <w:rsid w:val="00943742"/>
    <w:rsid w:val="00943901"/>
    <w:rsid w:val="00944B32"/>
    <w:rsid w:val="00945C05"/>
    <w:rsid w:val="00945DE1"/>
    <w:rsid w:val="00946945"/>
    <w:rsid w:val="00947713"/>
    <w:rsid w:val="00950522"/>
    <w:rsid w:val="0095085B"/>
    <w:rsid w:val="00950C88"/>
    <w:rsid w:val="00950DE7"/>
    <w:rsid w:val="00951CDE"/>
    <w:rsid w:val="00951F55"/>
    <w:rsid w:val="00952274"/>
    <w:rsid w:val="00953262"/>
    <w:rsid w:val="00953920"/>
    <w:rsid w:val="00953D47"/>
    <w:rsid w:val="0095472D"/>
    <w:rsid w:val="00956095"/>
    <w:rsid w:val="0095681E"/>
    <w:rsid w:val="00956D51"/>
    <w:rsid w:val="00956E5D"/>
    <w:rsid w:val="009572D4"/>
    <w:rsid w:val="00961921"/>
    <w:rsid w:val="0096430A"/>
    <w:rsid w:val="0096554B"/>
    <w:rsid w:val="0096584A"/>
    <w:rsid w:val="00966F8D"/>
    <w:rsid w:val="00967C9D"/>
    <w:rsid w:val="00970CD7"/>
    <w:rsid w:val="00971F08"/>
    <w:rsid w:val="009758CB"/>
    <w:rsid w:val="0097603D"/>
    <w:rsid w:val="00976949"/>
    <w:rsid w:val="00976FE5"/>
    <w:rsid w:val="0097734F"/>
    <w:rsid w:val="00980477"/>
    <w:rsid w:val="00980504"/>
    <w:rsid w:val="00982BDD"/>
    <w:rsid w:val="00982EC3"/>
    <w:rsid w:val="00985253"/>
    <w:rsid w:val="009852A3"/>
    <w:rsid w:val="009853B3"/>
    <w:rsid w:val="00985F47"/>
    <w:rsid w:val="0098626F"/>
    <w:rsid w:val="00990630"/>
    <w:rsid w:val="00990689"/>
    <w:rsid w:val="009912EB"/>
    <w:rsid w:val="0099169D"/>
    <w:rsid w:val="00991761"/>
    <w:rsid w:val="009918D4"/>
    <w:rsid w:val="00993090"/>
    <w:rsid w:val="009946EA"/>
    <w:rsid w:val="00994DCA"/>
    <w:rsid w:val="009960EC"/>
    <w:rsid w:val="009970DD"/>
    <w:rsid w:val="00997EFB"/>
    <w:rsid w:val="009A0FBA"/>
    <w:rsid w:val="009A1601"/>
    <w:rsid w:val="009A3347"/>
    <w:rsid w:val="009A3BB6"/>
    <w:rsid w:val="009A3E1A"/>
    <w:rsid w:val="009A462D"/>
    <w:rsid w:val="009A5806"/>
    <w:rsid w:val="009A5CBA"/>
    <w:rsid w:val="009A6866"/>
    <w:rsid w:val="009B0D0E"/>
    <w:rsid w:val="009B1F30"/>
    <w:rsid w:val="009B2DC6"/>
    <w:rsid w:val="009B3AC2"/>
    <w:rsid w:val="009B3F65"/>
    <w:rsid w:val="009B43B3"/>
    <w:rsid w:val="009B4DF4"/>
    <w:rsid w:val="009B564E"/>
    <w:rsid w:val="009B6E7A"/>
    <w:rsid w:val="009B7E87"/>
    <w:rsid w:val="009C00CE"/>
    <w:rsid w:val="009C0169"/>
    <w:rsid w:val="009C19B4"/>
    <w:rsid w:val="009C2DBC"/>
    <w:rsid w:val="009C403E"/>
    <w:rsid w:val="009C4596"/>
    <w:rsid w:val="009C45FD"/>
    <w:rsid w:val="009D0AB3"/>
    <w:rsid w:val="009D1941"/>
    <w:rsid w:val="009D27D6"/>
    <w:rsid w:val="009D452A"/>
    <w:rsid w:val="009D4FF0"/>
    <w:rsid w:val="009D6FDB"/>
    <w:rsid w:val="009D703C"/>
    <w:rsid w:val="009D718F"/>
    <w:rsid w:val="009E068F"/>
    <w:rsid w:val="009E0E36"/>
    <w:rsid w:val="009E11E1"/>
    <w:rsid w:val="009E14E0"/>
    <w:rsid w:val="009E35DB"/>
    <w:rsid w:val="009E47A3"/>
    <w:rsid w:val="009E47DF"/>
    <w:rsid w:val="009E5421"/>
    <w:rsid w:val="009E650C"/>
    <w:rsid w:val="009F071E"/>
    <w:rsid w:val="009F08F3"/>
    <w:rsid w:val="009F0D27"/>
    <w:rsid w:val="009F20A1"/>
    <w:rsid w:val="009F2343"/>
    <w:rsid w:val="009F2EC7"/>
    <w:rsid w:val="009F33C5"/>
    <w:rsid w:val="009F344F"/>
    <w:rsid w:val="009F3EB0"/>
    <w:rsid w:val="009F570D"/>
    <w:rsid w:val="00A029A9"/>
    <w:rsid w:val="00A031D8"/>
    <w:rsid w:val="00A03453"/>
    <w:rsid w:val="00A048A8"/>
    <w:rsid w:val="00A04F49"/>
    <w:rsid w:val="00A138EC"/>
    <w:rsid w:val="00A13E54"/>
    <w:rsid w:val="00A14B21"/>
    <w:rsid w:val="00A1509C"/>
    <w:rsid w:val="00A15C2B"/>
    <w:rsid w:val="00A17F63"/>
    <w:rsid w:val="00A2193B"/>
    <w:rsid w:val="00A21CAA"/>
    <w:rsid w:val="00A2204D"/>
    <w:rsid w:val="00A2263E"/>
    <w:rsid w:val="00A23251"/>
    <w:rsid w:val="00A2351A"/>
    <w:rsid w:val="00A25DC9"/>
    <w:rsid w:val="00A264A9"/>
    <w:rsid w:val="00A267D7"/>
    <w:rsid w:val="00A26DCF"/>
    <w:rsid w:val="00A27785"/>
    <w:rsid w:val="00A30187"/>
    <w:rsid w:val="00A31151"/>
    <w:rsid w:val="00A314E9"/>
    <w:rsid w:val="00A3448A"/>
    <w:rsid w:val="00A34DD3"/>
    <w:rsid w:val="00A36297"/>
    <w:rsid w:val="00A37381"/>
    <w:rsid w:val="00A3745D"/>
    <w:rsid w:val="00A4053F"/>
    <w:rsid w:val="00A41E2B"/>
    <w:rsid w:val="00A45B74"/>
    <w:rsid w:val="00A46E91"/>
    <w:rsid w:val="00A51C84"/>
    <w:rsid w:val="00A52127"/>
    <w:rsid w:val="00A52E1D"/>
    <w:rsid w:val="00A53C7C"/>
    <w:rsid w:val="00A54C0E"/>
    <w:rsid w:val="00A55DB1"/>
    <w:rsid w:val="00A5777A"/>
    <w:rsid w:val="00A61499"/>
    <w:rsid w:val="00A6228C"/>
    <w:rsid w:val="00A62A77"/>
    <w:rsid w:val="00A62B86"/>
    <w:rsid w:val="00A6323E"/>
    <w:rsid w:val="00A63483"/>
    <w:rsid w:val="00A64B5A"/>
    <w:rsid w:val="00A657D7"/>
    <w:rsid w:val="00A660AC"/>
    <w:rsid w:val="00A67E6C"/>
    <w:rsid w:val="00A71B99"/>
    <w:rsid w:val="00A72C1F"/>
    <w:rsid w:val="00A739D0"/>
    <w:rsid w:val="00A75DFA"/>
    <w:rsid w:val="00A761D4"/>
    <w:rsid w:val="00A7737D"/>
    <w:rsid w:val="00A77EC4"/>
    <w:rsid w:val="00A812CC"/>
    <w:rsid w:val="00A81CC6"/>
    <w:rsid w:val="00A82273"/>
    <w:rsid w:val="00A8294D"/>
    <w:rsid w:val="00A85770"/>
    <w:rsid w:val="00A85960"/>
    <w:rsid w:val="00A86A06"/>
    <w:rsid w:val="00A87755"/>
    <w:rsid w:val="00A878B4"/>
    <w:rsid w:val="00A878F0"/>
    <w:rsid w:val="00A87CCB"/>
    <w:rsid w:val="00A92879"/>
    <w:rsid w:val="00A92B42"/>
    <w:rsid w:val="00A932C3"/>
    <w:rsid w:val="00A9339D"/>
    <w:rsid w:val="00A9442A"/>
    <w:rsid w:val="00A95035"/>
    <w:rsid w:val="00A961B7"/>
    <w:rsid w:val="00A96DD3"/>
    <w:rsid w:val="00A979D6"/>
    <w:rsid w:val="00AA016F"/>
    <w:rsid w:val="00AA0230"/>
    <w:rsid w:val="00AA14DA"/>
    <w:rsid w:val="00AA1ED6"/>
    <w:rsid w:val="00AA51D6"/>
    <w:rsid w:val="00AA5731"/>
    <w:rsid w:val="00AB0BC8"/>
    <w:rsid w:val="00AB11CA"/>
    <w:rsid w:val="00AB14D9"/>
    <w:rsid w:val="00AB3B9A"/>
    <w:rsid w:val="00AB4AB8"/>
    <w:rsid w:val="00AB655E"/>
    <w:rsid w:val="00AB6E3E"/>
    <w:rsid w:val="00AB7EA6"/>
    <w:rsid w:val="00AC007F"/>
    <w:rsid w:val="00AC1431"/>
    <w:rsid w:val="00AC145E"/>
    <w:rsid w:val="00AC2ECD"/>
    <w:rsid w:val="00AC3119"/>
    <w:rsid w:val="00AC49FB"/>
    <w:rsid w:val="00AC5A10"/>
    <w:rsid w:val="00AC65BB"/>
    <w:rsid w:val="00AC66F3"/>
    <w:rsid w:val="00AD001C"/>
    <w:rsid w:val="00AD0AA3"/>
    <w:rsid w:val="00AD25AF"/>
    <w:rsid w:val="00AD2999"/>
    <w:rsid w:val="00AD2AD0"/>
    <w:rsid w:val="00AD2ED0"/>
    <w:rsid w:val="00AD3F94"/>
    <w:rsid w:val="00AD45A2"/>
    <w:rsid w:val="00AD4A5A"/>
    <w:rsid w:val="00AD4E2E"/>
    <w:rsid w:val="00AE0870"/>
    <w:rsid w:val="00AE27AC"/>
    <w:rsid w:val="00AE281F"/>
    <w:rsid w:val="00AE3371"/>
    <w:rsid w:val="00AE40E0"/>
    <w:rsid w:val="00AE4DBA"/>
    <w:rsid w:val="00AE4F07"/>
    <w:rsid w:val="00AE528A"/>
    <w:rsid w:val="00AE5EFB"/>
    <w:rsid w:val="00AE62DF"/>
    <w:rsid w:val="00AE6818"/>
    <w:rsid w:val="00AE73E6"/>
    <w:rsid w:val="00AF0D3D"/>
    <w:rsid w:val="00AF142D"/>
    <w:rsid w:val="00AF1C5D"/>
    <w:rsid w:val="00AF1DCE"/>
    <w:rsid w:val="00AF42D7"/>
    <w:rsid w:val="00AF5372"/>
    <w:rsid w:val="00AF5BEE"/>
    <w:rsid w:val="00B006FE"/>
    <w:rsid w:val="00B007CB"/>
    <w:rsid w:val="00B00BB3"/>
    <w:rsid w:val="00B0204E"/>
    <w:rsid w:val="00B023A1"/>
    <w:rsid w:val="00B02AA9"/>
    <w:rsid w:val="00B02FA3"/>
    <w:rsid w:val="00B048E3"/>
    <w:rsid w:val="00B05084"/>
    <w:rsid w:val="00B06002"/>
    <w:rsid w:val="00B07E35"/>
    <w:rsid w:val="00B120E6"/>
    <w:rsid w:val="00B13CA6"/>
    <w:rsid w:val="00B14D49"/>
    <w:rsid w:val="00B157F9"/>
    <w:rsid w:val="00B201D8"/>
    <w:rsid w:val="00B20256"/>
    <w:rsid w:val="00B20599"/>
    <w:rsid w:val="00B2071A"/>
    <w:rsid w:val="00B209AA"/>
    <w:rsid w:val="00B20D09"/>
    <w:rsid w:val="00B20DDB"/>
    <w:rsid w:val="00B22567"/>
    <w:rsid w:val="00B22C41"/>
    <w:rsid w:val="00B24A71"/>
    <w:rsid w:val="00B26F9A"/>
    <w:rsid w:val="00B273B4"/>
    <w:rsid w:val="00B2763F"/>
    <w:rsid w:val="00B278F6"/>
    <w:rsid w:val="00B27AAC"/>
    <w:rsid w:val="00B301DA"/>
    <w:rsid w:val="00B30929"/>
    <w:rsid w:val="00B324D9"/>
    <w:rsid w:val="00B32574"/>
    <w:rsid w:val="00B353B1"/>
    <w:rsid w:val="00B353E0"/>
    <w:rsid w:val="00B372AA"/>
    <w:rsid w:val="00B379DC"/>
    <w:rsid w:val="00B40445"/>
    <w:rsid w:val="00B409E0"/>
    <w:rsid w:val="00B415E1"/>
    <w:rsid w:val="00B41888"/>
    <w:rsid w:val="00B4461B"/>
    <w:rsid w:val="00B45A52"/>
    <w:rsid w:val="00B46175"/>
    <w:rsid w:val="00B46724"/>
    <w:rsid w:val="00B47883"/>
    <w:rsid w:val="00B5393E"/>
    <w:rsid w:val="00B53F46"/>
    <w:rsid w:val="00B548B7"/>
    <w:rsid w:val="00B56377"/>
    <w:rsid w:val="00B57781"/>
    <w:rsid w:val="00B57F99"/>
    <w:rsid w:val="00B60F23"/>
    <w:rsid w:val="00B61870"/>
    <w:rsid w:val="00B63395"/>
    <w:rsid w:val="00B664C7"/>
    <w:rsid w:val="00B70F4A"/>
    <w:rsid w:val="00B72553"/>
    <w:rsid w:val="00B737FC"/>
    <w:rsid w:val="00B739F6"/>
    <w:rsid w:val="00B73AC1"/>
    <w:rsid w:val="00B769D2"/>
    <w:rsid w:val="00B80550"/>
    <w:rsid w:val="00B807F3"/>
    <w:rsid w:val="00B80D2A"/>
    <w:rsid w:val="00B81A6C"/>
    <w:rsid w:val="00B82F87"/>
    <w:rsid w:val="00B83975"/>
    <w:rsid w:val="00B85DE5"/>
    <w:rsid w:val="00B90F73"/>
    <w:rsid w:val="00B91680"/>
    <w:rsid w:val="00B92426"/>
    <w:rsid w:val="00B93B59"/>
    <w:rsid w:val="00B9406A"/>
    <w:rsid w:val="00B949E1"/>
    <w:rsid w:val="00B94B0D"/>
    <w:rsid w:val="00B95171"/>
    <w:rsid w:val="00B9715C"/>
    <w:rsid w:val="00BA0EE2"/>
    <w:rsid w:val="00BA1C8F"/>
    <w:rsid w:val="00BA2280"/>
    <w:rsid w:val="00BA2A08"/>
    <w:rsid w:val="00BA56D2"/>
    <w:rsid w:val="00BA69DD"/>
    <w:rsid w:val="00BA7172"/>
    <w:rsid w:val="00BA76E0"/>
    <w:rsid w:val="00BB15D9"/>
    <w:rsid w:val="00BB2087"/>
    <w:rsid w:val="00BB2A25"/>
    <w:rsid w:val="00BB51E9"/>
    <w:rsid w:val="00BB7014"/>
    <w:rsid w:val="00BB718F"/>
    <w:rsid w:val="00BC0FDC"/>
    <w:rsid w:val="00BC2C7A"/>
    <w:rsid w:val="00BC3053"/>
    <w:rsid w:val="00BC4D2E"/>
    <w:rsid w:val="00BD48AC"/>
    <w:rsid w:val="00BD5F1A"/>
    <w:rsid w:val="00BD7129"/>
    <w:rsid w:val="00BE1234"/>
    <w:rsid w:val="00BE2FA6"/>
    <w:rsid w:val="00BE333F"/>
    <w:rsid w:val="00BE4832"/>
    <w:rsid w:val="00BE598B"/>
    <w:rsid w:val="00BE7406"/>
    <w:rsid w:val="00BE7603"/>
    <w:rsid w:val="00BF3279"/>
    <w:rsid w:val="00BF74C7"/>
    <w:rsid w:val="00C008D6"/>
    <w:rsid w:val="00C015F1"/>
    <w:rsid w:val="00C01F33"/>
    <w:rsid w:val="00C02555"/>
    <w:rsid w:val="00C02CC6"/>
    <w:rsid w:val="00C03EC6"/>
    <w:rsid w:val="00C040F7"/>
    <w:rsid w:val="00C044AB"/>
    <w:rsid w:val="00C0478C"/>
    <w:rsid w:val="00C055C7"/>
    <w:rsid w:val="00C05706"/>
    <w:rsid w:val="00C07377"/>
    <w:rsid w:val="00C1044A"/>
    <w:rsid w:val="00C10478"/>
    <w:rsid w:val="00C12107"/>
    <w:rsid w:val="00C14D4B"/>
    <w:rsid w:val="00C154BB"/>
    <w:rsid w:val="00C156BE"/>
    <w:rsid w:val="00C171F6"/>
    <w:rsid w:val="00C207A8"/>
    <w:rsid w:val="00C22105"/>
    <w:rsid w:val="00C25290"/>
    <w:rsid w:val="00C27789"/>
    <w:rsid w:val="00C279B5"/>
    <w:rsid w:val="00C27B1B"/>
    <w:rsid w:val="00C27C45"/>
    <w:rsid w:val="00C31475"/>
    <w:rsid w:val="00C336B6"/>
    <w:rsid w:val="00C355A4"/>
    <w:rsid w:val="00C3719D"/>
    <w:rsid w:val="00C37B4D"/>
    <w:rsid w:val="00C37CB2"/>
    <w:rsid w:val="00C404DE"/>
    <w:rsid w:val="00C41423"/>
    <w:rsid w:val="00C4427C"/>
    <w:rsid w:val="00C45A5C"/>
    <w:rsid w:val="00C45A96"/>
    <w:rsid w:val="00C470FC"/>
    <w:rsid w:val="00C473A5"/>
    <w:rsid w:val="00C5054E"/>
    <w:rsid w:val="00C5470A"/>
    <w:rsid w:val="00C54995"/>
    <w:rsid w:val="00C54D41"/>
    <w:rsid w:val="00C55A2A"/>
    <w:rsid w:val="00C562BC"/>
    <w:rsid w:val="00C60783"/>
    <w:rsid w:val="00C62702"/>
    <w:rsid w:val="00C64672"/>
    <w:rsid w:val="00C64CE0"/>
    <w:rsid w:val="00C6646D"/>
    <w:rsid w:val="00C66E70"/>
    <w:rsid w:val="00C70697"/>
    <w:rsid w:val="00C70EEC"/>
    <w:rsid w:val="00C714F2"/>
    <w:rsid w:val="00C71C25"/>
    <w:rsid w:val="00C72076"/>
    <w:rsid w:val="00C72093"/>
    <w:rsid w:val="00C72B03"/>
    <w:rsid w:val="00C72EF4"/>
    <w:rsid w:val="00C744FE"/>
    <w:rsid w:val="00C75D2F"/>
    <w:rsid w:val="00C767BE"/>
    <w:rsid w:val="00C76E3C"/>
    <w:rsid w:val="00C77B01"/>
    <w:rsid w:val="00C81568"/>
    <w:rsid w:val="00C816E2"/>
    <w:rsid w:val="00C82237"/>
    <w:rsid w:val="00C9027A"/>
    <w:rsid w:val="00C9068E"/>
    <w:rsid w:val="00C91EBB"/>
    <w:rsid w:val="00C935A0"/>
    <w:rsid w:val="00C93814"/>
    <w:rsid w:val="00C93C4B"/>
    <w:rsid w:val="00C944AB"/>
    <w:rsid w:val="00C95B40"/>
    <w:rsid w:val="00C96141"/>
    <w:rsid w:val="00C97CB3"/>
    <w:rsid w:val="00CA0538"/>
    <w:rsid w:val="00CA0922"/>
    <w:rsid w:val="00CA13C6"/>
    <w:rsid w:val="00CA1ED8"/>
    <w:rsid w:val="00CA2DED"/>
    <w:rsid w:val="00CA3BFA"/>
    <w:rsid w:val="00CA4DC9"/>
    <w:rsid w:val="00CA4E6E"/>
    <w:rsid w:val="00CA570A"/>
    <w:rsid w:val="00CA615A"/>
    <w:rsid w:val="00CB1F63"/>
    <w:rsid w:val="00CB45F7"/>
    <w:rsid w:val="00CB5B49"/>
    <w:rsid w:val="00CB7170"/>
    <w:rsid w:val="00CC040E"/>
    <w:rsid w:val="00CC111F"/>
    <w:rsid w:val="00CC1187"/>
    <w:rsid w:val="00CC1EFE"/>
    <w:rsid w:val="00CC2011"/>
    <w:rsid w:val="00CC2A75"/>
    <w:rsid w:val="00CC3EA0"/>
    <w:rsid w:val="00CC5E15"/>
    <w:rsid w:val="00CC7B45"/>
    <w:rsid w:val="00CD1188"/>
    <w:rsid w:val="00CD183E"/>
    <w:rsid w:val="00CD2ED1"/>
    <w:rsid w:val="00CD337B"/>
    <w:rsid w:val="00CD7139"/>
    <w:rsid w:val="00CE0424"/>
    <w:rsid w:val="00CE1325"/>
    <w:rsid w:val="00CE3BD9"/>
    <w:rsid w:val="00CE4AAD"/>
    <w:rsid w:val="00CE6AA4"/>
    <w:rsid w:val="00CE7561"/>
    <w:rsid w:val="00CF1354"/>
    <w:rsid w:val="00CF1F77"/>
    <w:rsid w:val="00CF2AF0"/>
    <w:rsid w:val="00CF349D"/>
    <w:rsid w:val="00CF3B1F"/>
    <w:rsid w:val="00CF3BF6"/>
    <w:rsid w:val="00CF625B"/>
    <w:rsid w:val="00CF687E"/>
    <w:rsid w:val="00D0262C"/>
    <w:rsid w:val="00D02B0C"/>
    <w:rsid w:val="00D03201"/>
    <w:rsid w:val="00D032CB"/>
    <w:rsid w:val="00D0349B"/>
    <w:rsid w:val="00D10249"/>
    <w:rsid w:val="00D115C3"/>
    <w:rsid w:val="00D11897"/>
    <w:rsid w:val="00D13135"/>
    <w:rsid w:val="00D13E4E"/>
    <w:rsid w:val="00D16FAA"/>
    <w:rsid w:val="00D21FBC"/>
    <w:rsid w:val="00D239A7"/>
    <w:rsid w:val="00D23F47"/>
    <w:rsid w:val="00D25792"/>
    <w:rsid w:val="00D2671C"/>
    <w:rsid w:val="00D27714"/>
    <w:rsid w:val="00D35E96"/>
    <w:rsid w:val="00D36E71"/>
    <w:rsid w:val="00D37D87"/>
    <w:rsid w:val="00D40B33"/>
    <w:rsid w:val="00D4280E"/>
    <w:rsid w:val="00D4318F"/>
    <w:rsid w:val="00D438BF"/>
    <w:rsid w:val="00D440F8"/>
    <w:rsid w:val="00D44740"/>
    <w:rsid w:val="00D51D00"/>
    <w:rsid w:val="00D53768"/>
    <w:rsid w:val="00D546FF"/>
    <w:rsid w:val="00D55AD5"/>
    <w:rsid w:val="00D5634B"/>
    <w:rsid w:val="00D57647"/>
    <w:rsid w:val="00D576CA"/>
    <w:rsid w:val="00D5773C"/>
    <w:rsid w:val="00D57933"/>
    <w:rsid w:val="00D61AF5"/>
    <w:rsid w:val="00D61EFC"/>
    <w:rsid w:val="00D629F4"/>
    <w:rsid w:val="00D62A2A"/>
    <w:rsid w:val="00D64359"/>
    <w:rsid w:val="00D652B5"/>
    <w:rsid w:val="00D66155"/>
    <w:rsid w:val="00D67979"/>
    <w:rsid w:val="00D70446"/>
    <w:rsid w:val="00D708B0"/>
    <w:rsid w:val="00D71E2C"/>
    <w:rsid w:val="00D72402"/>
    <w:rsid w:val="00D726A9"/>
    <w:rsid w:val="00D72BC1"/>
    <w:rsid w:val="00D74B19"/>
    <w:rsid w:val="00D763B1"/>
    <w:rsid w:val="00D77B1D"/>
    <w:rsid w:val="00D8021F"/>
    <w:rsid w:val="00D80383"/>
    <w:rsid w:val="00D809D2"/>
    <w:rsid w:val="00D823C6"/>
    <w:rsid w:val="00D829E9"/>
    <w:rsid w:val="00D830AC"/>
    <w:rsid w:val="00D8327F"/>
    <w:rsid w:val="00D85F4C"/>
    <w:rsid w:val="00D86CA3"/>
    <w:rsid w:val="00D87044"/>
    <w:rsid w:val="00D871CE"/>
    <w:rsid w:val="00D902C6"/>
    <w:rsid w:val="00D90B60"/>
    <w:rsid w:val="00D918C4"/>
    <w:rsid w:val="00D9196D"/>
    <w:rsid w:val="00D92982"/>
    <w:rsid w:val="00D9314B"/>
    <w:rsid w:val="00D94931"/>
    <w:rsid w:val="00D95507"/>
    <w:rsid w:val="00D95F9F"/>
    <w:rsid w:val="00D96338"/>
    <w:rsid w:val="00DA087D"/>
    <w:rsid w:val="00DA12B7"/>
    <w:rsid w:val="00DA2C67"/>
    <w:rsid w:val="00DA305E"/>
    <w:rsid w:val="00DA3ECC"/>
    <w:rsid w:val="00DA5417"/>
    <w:rsid w:val="00DA56E8"/>
    <w:rsid w:val="00DA5878"/>
    <w:rsid w:val="00DB0A9F"/>
    <w:rsid w:val="00DB14D1"/>
    <w:rsid w:val="00DB377D"/>
    <w:rsid w:val="00DB627B"/>
    <w:rsid w:val="00DB72AF"/>
    <w:rsid w:val="00DC0B0B"/>
    <w:rsid w:val="00DC1D85"/>
    <w:rsid w:val="00DC2475"/>
    <w:rsid w:val="00DC24AC"/>
    <w:rsid w:val="00DC2D36"/>
    <w:rsid w:val="00DC53EF"/>
    <w:rsid w:val="00DD2379"/>
    <w:rsid w:val="00DD3E5E"/>
    <w:rsid w:val="00DD4B47"/>
    <w:rsid w:val="00DD703A"/>
    <w:rsid w:val="00DD7C4A"/>
    <w:rsid w:val="00DE0939"/>
    <w:rsid w:val="00DE2C41"/>
    <w:rsid w:val="00DE39E6"/>
    <w:rsid w:val="00DE5608"/>
    <w:rsid w:val="00DE58D0"/>
    <w:rsid w:val="00DE5911"/>
    <w:rsid w:val="00DE654F"/>
    <w:rsid w:val="00DE6CE8"/>
    <w:rsid w:val="00DF00BF"/>
    <w:rsid w:val="00DF0B6E"/>
    <w:rsid w:val="00DF15E0"/>
    <w:rsid w:val="00DF37A0"/>
    <w:rsid w:val="00DF5011"/>
    <w:rsid w:val="00DF53F5"/>
    <w:rsid w:val="00DF7387"/>
    <w:rsid w:val="00E02AD2"/>
    <w:rsid w:val="00E0402C"/>
    <w:rsid w:val="00E049F0"/>
    <w:rsid w:val="00E06A5B"/>
    <w:rsid w:val="00E06B0A"/>
    <w:rsid w:val="00E07221"/>
    <w:rsid w:val="00E07560"/>
    <w:rsid w:val="00E110E7"/>
    <w:rsid w:val="00E1166A"/>
    <w:rsid w:val="00E117E2"/>
    <w:rsid w:val="00E11B20"/>
    <w:rsid w:val="00E12A27"/>
    <w:rsid w:val="00E17399"/>
    <w:rsid w:val="00E17FA2"/>
    <w:rsid w:val="00E20D68"/>
    <w:rsid w:val="00E2191D"/>
    <w:rsid w:val="00E22330"/>
    <w:rsid w:val="00E23447"/>
    <w:rsid w:val="00E26C48"/>
    <w:rsid w:val="00E304B6"/>
    <w:rsid w:val="00E30B5A"/>
    <w:rsid w:val="00E30FDF"/>
    <w:rsid w:val="00E3123D"/>
    <w:rsid w:val="00E31461"/>
    <w:rsid w:val="00E31D43"/>
    <w:rsid w:val="00E31D81"/>
    <w:rsid w:val="00E32608"/>
    <w:rsid w:val="00E34188"/>
    <w:rsid w:val="00E34B6E"/>
    <w:rsid w:val="00E34C6C"/>
    <w:rsid w:val="00E35559"/>
    <w:rsid w:val="00E35B0D"/>
    <w:rsid w:val="00E3723A"/>
    <w:rsid w:val="00E37860"/>
    <w:rsid w:val="00E4109A"/>
    <w:rsid w:val="00E41B0F"/>
    <w:rsid w:val="00E43607"/>
    <w:rsid w:val="00E446F1"/>
    <w:rsid w:val="00E46886"/>
    <w:rsid w:val="00E46D36"/>
    <w:rsid w:val="00E47AEF"/>
    <w:rsid w:val="00E517D9"/>
    <w:rsid w:val="00E534EA"/>
    <w:rsid w:val="00E53B75"/>
    <w:rsid w:val="00E54965"/>
    <w:rsid w:val="00E54E3B"/>
    <w:rsid w:val="00E57401"/>
    <w:rsid w:val="00E57565"/>
    <w:rsid w:val="00E6050A"/>
    <w:rsid w:val="00E60BDF"/>
    <w:rsid w:val="00E6180E"/>
    <w:rsid w:val="00E62187"/>
    <w:rsid w:val="00E6248A"/>
    <w:rsid w:val="00E63838"/>
    <w:rsid w:val="00E64434"/>
    <w:rsid w:val="00E6553E"/>
    <w:rsid w:val="00E6624B"/>
    <w:rsid w:val="00E662FD"/>
    <w:rsid w:val="00E6719F"/>
    <w:rsid w:val="00E67C51"/>
    <w:rsid w:val="00E7012C"/>
    <w:rsid w:val="00E7084C"/>
    <w:rsid w:val="00E72EFC"/>
    <w:rsid w:val="00E745CA"/>
    <w:rsid w:val="00E757C6"/>
    <w:rsid w:val="00E758EC"/>
    <w:rsid w:val="00E758ED"/>
    <w:rsid w:val="00E75F5A"/>
    <w:rsid w:val="00E7639D"/>
    <w:rsid w:val="00E81737"/>
    <w:rsid w:val="00E8234C"/>
    <w:rsid w:val="00E835E2"/>
    <w:rsid w:val="00E838E7"/>
    <w:rsid w:val="00E83AA9"/>
    <w:rsid w:val="00E83BC4"/>
    <w:rsid w:val="00E85928"/>
    <w:rsid w:val="00E8620E"/>
    <w:rsid w:val="00E866C5"/>
    <w:rsid w:val="00E87822"/>
    <w:rsid w:val="00E90395"/>
    <w:rsid w:val="00E90E49"/>
    <w:rsid w:val="00E917F9"/>
    <w:rsid w:val="00E921FD"/>
    <w:rsid w:val="00E9291C"/>
    <w:rsid w:val="00E93FFE"/>
    <w:rsid w:val="00E9453F"/>
    <w:rsid w:val="00E94F8A"/>
    <w:rsid w:val="00E95514"/>
    <w:rsid w:val="00E9666F"/>
    <w:rsid w:val="00E96B33"/>
    <w:rsid w:val="00E97BBB"/>
    <w:rsid w:val="00EA10A7"/>
    <w:rsid w:val="00EA3C24"/>
    <w:rsid w:val="00EA763E"/>
    <w:rsid w:val="00EA7A41"/>
    <w:rsid w:val="00EB077B"/>
    <w:rsid w:val="00EB1792"/>
    <w:rsid w:val="00EB1DD1"/>
    <w:rsid w:val="00EB2FD1"/>
    <w:rsid w:val="00EB4EA2"/>
    <w:rsid w:val="00EB7E17"/>
    <w:rsid w:val="00EC1D15"/>
    <w:rsid w:val="00EC1F46"/>
    <w:rsid w:val="00EC24D5"/>
    <w:rsid w:val="00EC27C6"/>
    <w:rsid w:val="00EC2F9C"/>
    <w:rsid w:val="00EC3A6B"/>
    <w:rsid w:val="00EC3D8F"/>
    <w:rsid w:val="00EC4207"/>
    <w:rsid w:val="00EC42AB"/>
    <w:rsid w:val="00EC4E86"/>
    <w:rsid w:val="00EC5653"/>
    <w:rsid w:val="00EC584E"/>
    <w:rsid w:val="00EC5D3D"/>
    <w:rsid w:val="00EC67DB"/>
    <w:rsid w:val="00EC71CE"/>
    <w:rsid w:val="00ED0128"/>
    <w:rsid w:val="00ED1006"/>
    <w:rsid w:val="00ED1790"/>
    <w:rsid w:val="00ED2DCE"/>
    <w:rsid w:val="00ED44DC"/>
    <w:rsid w:val="00ED7164"/>
    <w:rsid w:val="00EE0DC0"/>
    <w:rsid w:val="00EE1D29"/>
    <w:rsid w:val="00EE2C60"/>
    <w:rsid w:val="00EE479F"/>
    <w:rsid w:val="00EE7CB4"/>
    <w:rsid w:val="00EF18FE"/>
    <w:rsid w:val="00EF2498"/>
    <w:rsid w:val="00EF2732"/>
    <w:rsid w:val="00EF351D"/>
    <w:rsid w:val="00EF5787"/>
    <w:rsid w:val="00EF60D0"/>
    <w:rsid w:val="00F03B22"/>
    <w:rsid w:val="00F0528D"/>
    <w:rsid w:val="00F06C67"/>
    <w:rsid w:val="00F06DFD"/>
    <w:rsid w:val="00F07125"/>
    <w:rsid w:val="00F071D1"/>
    <w:rsid w:val="00F0749B"/>
    <w:rsid w:val="00F07533"/>
    <w:rsid w:val="00F10629"/>
    <w:rsid w:val="00F11B64"/>
    <w:rsid w:val="00F122BC"/>
    <w:rsid w:val="00F14DE2"/>
    <w:rsid w:val="00F14E2E"/>
    <w:rsid w:val="00F159FB"/>
    <w:rsid w:val="00F15FA5"/>
    <w:rsid w:val="00F209B7"/>
    <w:rsid w:val="00F2376F"/>
    <w:rsid w:val="00F243D8"/>
    <w:rsid w:val="00F275C6"/>
    <w:rsid w:val="00F3014C"/>
    <w:rsid w:val="00F30828"/>
    <w:rsid w:val="00F313D6"/>
    <w:rsid w:val="00F33B6F"/>
    <w:rsid w:val="00F35DE4"/>
    <w:rsid w:val="00F364A8"/>
    <w:rsid w:val="00F369A8"/>
    <w:rsid w:val="00F4039B"/>
    <w:rsid w:val="00F40F0C"/>
    <w:rsid w:val="00F41EFE"/>
    <w:rsid w:val="00F43F9D"/>
    <w:rsid w:val="00F4579A"/>
    <w:rsid w:val="00F4766C"/>
    <w:rsid w:val="00F479AD"/>
    <w:rsid w:val="00F5060E"/>
    <w:rsid w:val="00F507D1"/>
    <w:rsid w:val="00F519CE"/>
    <w:rsid w:val="00F51ADA"/>
    <w:rsid w:val="00F53E65"/>
    <w:rsid w:val="00F5683F"/>
    <w:rsid w:val="00F57087"/>
    <w:rsid w:val="00F60203"/>
    <w:rsid w:val="00F6040E"/>
    <w:rsid w:val="00F607C5"/>
    <w:rsid w:val="00F60DEA"/>
    <w:rsid w:val="00F611DA"/>
    <w:rsid w:val="00F61332"/>
    <w:rsid w:val="00F6302A"/>
    <w:rsid w:val="00F63950"/>
    <w:rsid w:val="00F64C2B"/>
    <w:rsid w:val="00F64E60"/>
    <w:rsid w:val="00F651BE"/>
    <w:rsid w:val="00F662A3"/>
    <w:rsid w:val="00F6666F"/>
    <w:rsid w:val="00F67F53"/>
    <w:rsid w:val="00F703BE"/>
    <w:rsid w:val="00F714BE"/>
    <w:rsid w:val="00F71F69"/>
    <w:rsid w:val="00F72171"/>
    <w:rsid w:val="00F72B72"/>
    <w:rsid w:val="00F74BB9"/>
    <w:rsid w:val="00F75255"/>
    <w:rsid w:val="00F75582"/>
    <w:rsid w:val="00F7689C"/>
    <w:rsid w:val="00F76EFA"/>
    <w:rsid w:val="00F77888"/>
    <w:rsid w:val="00F80103"/>
    <w:rsid w:val="00F804BE"/>
    <w:rsid w:val="00F817CE"/>
    <w:rsid w:val="00F8456C"/>
    <w:rsid w:val="00F8543E"/>
    <w:rsid w:val="00F859D8"/>
    <w:rsid w:val="00F8600B"/>
    <w:rsid w:val="00F868F5"/>
    <w:rsid w:val="00F9056A"/>
    <w:rsid w:val="00F90F8D"/>
    <w:rsid w:val="00F92782"/>
    <w:rsid w:val="00F9328C"/>
    <w:rsid w:val="00F93311"/>
    <w:rsid w:val="00F93AA9"/>
    <w:rsid w:val="00F95557"/>
    <w:rsid w:val="00F95711"/>
    <w:rsid w:val="00F96985"/>
    <w:rsid w:val="00F97838"/>
    <w:rsid w:val="00F97B8A"/>
    <w:rsid w:val="00FA0241"/>
    <w:rsid w:val="00FA0ED6"/>
    <w:rsid w:val="00FA2BB3"/>
    <w:rsid w:val="00FA3750"/>
    <w:rsid w:val="00FA3919"/>
    <w:rsid w:val="00FA5E94"/>
    <w:rsid w:val="00FA5F93"/>
    <w:rsid w:val="00FA64E3"/>
    <w:rsid w:val="00FA6B19"/>
    <w:rsid w:val="00FA6FCB"/>
    <w:rsid w:val="00FB4C80"/>
    <w:rsid w:val="00FB6A6A"/>
    <w:rsid w:val="00FB6C42"/>
    <w:rsid w:val="00FB6C5B"/>
    <w:rsid w:val="00FC1CBD"/>
    <w:rsid w:val="00FC3384"/>
    <w:rsid w:val="00FC7429"/>
    <w:rsid w:val="00FD010A"/>
    <w:rsid w:val="00FD07F6"/>
    <w:rsid w:val="00FD1B15"/>
    <w:rsid w:val="00FD1EC8"/>
    <w:rsid w:val="00FD2C58"/>
    <w:rsid w:val="00FD47ED"/>
    <w:rsid w:val="00FD7253"/>
    <w:rsid w:val="00FD74DB"/>
    <w:rsid w:val="00FD7660"/>
    <w:rsid w:val="00FE0655"/>
    <w:rsid w:val="00FE06E5"/>
    <w:rsid w:val="00FE2365"/>
    <w:rsid w:val="00FE37D7"/>
    <w:rsid w:val="00FE4400"/>
    <w:rsid w:val="00FE4C7B"/>
    <w:rsid w:val="00FE7336"/>
    <w:rsid w:val="00FE787C"/>
    <w:rsid w:val="00FE7E58"/>
    <w:rsid w:val="00FF0EC1"/>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671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D267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71C"/>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qFormat/>
    <w:rsid w:val="00BA7172"/>
    <w:rPr>
      <w:sz w:val="16"/>
      <w:szCs w:val="16"/>
    </w:rPr>
  </w:style>
  <w:style w:type="paragraph" w:styleId="CommentText">
    <w:name w:val="annotation text"/>
    <w:basedOn w:val="Normal"/>
    <w:link w:val="CommentTextChar"/>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basedOn w:val="DefaultParagraphFont"/>
    <w:link w:val="Heading1"/>
    <w:rsid w:val="004A3521"/>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link w:val="TACChar"/>
    <w:qFormat/>
    <w:rsid w:val="00BA7172"/>
    <w:pPr>
      <w:jc w:val="center"/>
    </w:pPr>
  </w:style>
  <w:style w:type="paragraph" w:customStyle="1" w:styleId="TAH">
    <w:name w:val="TAH"/>
    <w:basedOn w:val="TAC"/>
    <w:link w:val="TAHCar"/>
    <w:qFormat/>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qFormat/>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basedOn w:val="DefaultParagraphFont"/>
    <w:link w:val="Heading2"/>
    <w:rsid w:val="004A3521"/>
    <w:rPr>
      <w:rFonts w:ascii="Arial" w:hAnsi="Arial"/>
      <w:sz w:val="32"/>
      <w:lang w:eastAsia="ja-JP"/>
    </w:rPr>
  </w:style>
  <w:style w:type="character" w:customStyle="1" w:styleId="Heading3Char">
    <w:name w:val="Heading 3 Char"/>
    <w:basedOn w:val="DefaultParagraphFont"/>
    <w:link w:val="Heading3"/>
    <w:rsid w:val="004A3521"/>
    <w:rPr>
      <w:rFonts w:ascii="Arial" w:hAnsi="Arial"/>
      <w:sz w:val="28"/>
      <w:lang w:eastAsia="ja-JP"/>
    </w:rPr>
  </w:style>
  <w:style w:type="character" w:customStyle="1" w:styleId="Heading4Char">
    <w:name w:val="Heading 4 Char"/>
    <w:basedOn w:val="DefaultParagraphFont"/>
    <w:link w:val="Heading4"/>
    <w:rsid w:val="004A3521"/>
    <w:rPr>
      <w:rFonts w:ascii="Arial" w:hAnsi="Arial"/>
      <w:sz w:val="24"/>
      <w:lang w:eastAsia="ja-JP"/>
    </w:rPr>
  </w:style>
  <w:style w:type="character" w:customStyle="1" w:styleId="Heading5Char">
    <w:name w:val="Heading 5 Char"/>
    <w:basedOn w:val="DefaultParagraphFont"/>
    <w:link w:val="Heading5"/>
    <w:rsid w:val="004A3521"/>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basedOn w:val="DefaultParagraphFont"/>
    <w:link w:val="Heading6"/>
    <w:rsid w:val="004A3521"/>
    <w:rPr>
      <w:rFonts w:ascii="Arial" w:hAnsi="Arial"/>
      <w:lang w:eastAsia="ja-JP"/>
    </w:rPr>
  </w:style>
  <w:style w:type="character" w:customStyle="1" w:styleId="Heading7Char">
    <w:name w:val="Heading 7 Char"/>
    <w:basedOn w:val="DefaultParagraphFont"/>
    <w:link w:val="Heading7"/>
    <w:rsid w:val="004A3521"/>
    <w:rPr>
      <w:rFonts w:ascii="Arial" w:hAnsi="Arial"/>
      <w:lang w:eastAsia="ja-JP"/>
    </w:rPr>
  </w:style>
  <w:style w:type="character" w:customStyle="1" w:styleId="Heading8Char">
    <w:name w:val="Heading 8 Char"/>
    <w:basedOn w:val="DefaultParagraphFont"/>
    <w:link w:val="Heading8"/>
    <w:rsid w:val="004A3521"/>
    <w:rPr>
      <w:rFonts w:ascii="Arial" w:hAnsi="Arial"/>
      <w:sz w:val="36"/>
      <w:lang w:eastAsia="ja-JP"/>
    </w:rPr>
  </w:style>
  <w:style w:type="character" w:customStyle="1" w:styleId="Heading9Char">
    <w:name w:val="Heading 9 Char"/>
    <w:basedOn w:val="DefaultParagraphFont"/>
    <w:link w:val="Heading9"/>
    <w:rsid w:val="004A3521"/>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A7172"/>
    <w:rPr>
      <w:rFonts w:ascii="Calibri" w:eastAsia="Calibri" w:hAnsi="Calibri" w:cstheme="minorBid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aliases w:val="TableGrid"/>
    <w:basedOn w:val="TableNormal"/>
    <w:uiPriority w:val="39"/>
    <w:qFormat/>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qFormat/>
    <w:locked/>
    <w:rsid w:val="00BA7172"/>
    <w:rPr>
      <w:rFonts w:ascii="Arial" w:hAnsi="Arial"/>
      <w:b/>
      <w:sz w:val="18"/>
      <w:lang w:val="x-none" w:eastAsia="x-none"/>
    </w:rPr>
  </w:style>
  <w:style w:type="character" w:customStyle="1" w:styleId="THChar">
    <w:name w:val="TH Char"/>
    <w:link w:val="TH"/>
    <w:qFormat/>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eastAsiaTheme="minorHAnsi" w:hAnsi="Arial" w:cstheme="minorBidi"/>
      <w:sz w:val="22"/>
      <w:szCs w:val="22"/>
      <w:lang w:val="en-US"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 w:type="table" w:customStyle="1" w:styleId="TableGrid1">
    <w:name w:val="Table Grid1"/>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22C41"/>
    <w:rPr>
      <w:lang w:val="en-GB"/>
    </w:rPr>
  </w:style>
  <w:style w:type="character" w:customStyle="1" w:styleId="TACChar">
    <w:name w:val="TAC Char"/>
    <w:link w:val="TAC"/>
    <w:qFormat/>
    <w:rsid w:val="00BC2C7A"/>
    <w:rPr>
      <w:rFonts w:ascii="Arial" w:hAnsi="Arial"/>
      <w:sz w:val="18"/>
      <w:lang w:val="x-none" w:eastAsia="x-none"/>
    </w:rPr>
  </w:style>
  <w:style w:type="character" w:styleId="PlaceholderText">
    <w:name w:val="Placeholder Text"/>
    <w:basedOn w:val="DefaultParagraphFont"/>
    <w:uiPriority w:val="99"/>
    <w:semiHidden/>
    <w:rsid w:val="005A053C"/>
    <w:rPr>
      <w:color w:val="808080"/>
    </w:rPr>
  </w:style>
  <w:style w:type="paragraph" w:customStyle="1" w:styleId="Definition">
    <w:name w:val="Definition"/>
    <w:basedOn w:val="Observation"/>
    <w:qFormat/>
    <w:rsid w:val="007F1E8A"/>
    <w:pPr>
      <w:ind w:left="1710" w:hanging="1710"/>
    </w:pPr>
  </w:style>
  <w:style w:type="table" w:customStyle="1" w:styleId="TableGrid10">
    <w:name w:val="TableGrid1"/>
    <w:basedOn w:val="TableNormal"/>
    <w:next w:val="TableGrid"/>
    <w:uiPriority w:val="39"/>
    <w:qFormat/>
    <w:rsid w:val="004D6DB7"/>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58867370">
      <w:bodyDiv w:val="1"/>
      <w:marLeft w:val="0"/>
      <w:marRight w:val="0"/>
      <w:marTop w:val="0"/>
      <w:marBottom w:val="0"/>
      <w:divBdr>
        <w:top w:val="none" w:sz="0" w:space="0" w:color="auto"/>
        <w:left w:val="none" w:sz="0" w:space="0" w:color="auto"/>
        <w:bottom w:val="none" w:sz="0" w:space="0" w:color="auto"/>
        <w:right w:val="none" w:sz="0" w:space="0" w:color="auto"/>
      </w:divBdr>
    </w:div>
    <w:div w:id="62653039">
      <w:bodyDiv w:val="1"/>
      <w:marLeft w:val="0"/>
      <w:marRight w:val="0"/>
      <w:marTop w:val="0"/>
      <w:marBottom w:val="0"/>
      <w:divBdr>
        <w:top w:val="none" w:sz="0" w:space="0" w:color="auto"/>
        <w:left w:val="none" w:sz="0" w:space="0" w:color="auto"/>
        <w:bottom w:val="none" w:sz="0" w:space="0" w:color="auto"/>
        <w:right w:val="none" w:sz="0" w:space="0" w:color="auto"/>
      </w:divBdr>
    </w:div>
    <w:div w:id="132872316">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305164724">
      <w:bodyDiv w:val="1"/>
      <w:marLeft w:val="0"/>
      <w:marRight w:val="0"/>
      <w:marTop w:val="0"/>
      <w:marBottom w:val="0"/>
      <w:divBdr>
        <w:top w:val="none" w:sz="0" w:space="0" w:color="auto"/>
        <w:left w:val="none" w:sz="0" w:space="0" w:color="auto"/>
        <w:bottom w:val="none" w:sz="0" w:space="0" w:color="auto"/>
        <w:right w:val="none" w:sz="0" w:space="0" w:color="auto"/>
      </w:divBdr>
    </w:div>
    <w:div w:id="405030063">
      <w:bodyDiv w:val="1"/>
      <w:marLeft w:val="0"/>
      <w:marRight w:val="0"/>
      <w:marTop w:val="0"/>
      <w:marBottom w:val="0"/>
      <w:divBdr>
        <w:top w:val="none" w:sz="0" w:space="0" w:color="auto"/>
        <w:left w:val="none" w:sz="0" w:space="0" w:color="auto"/>
        <w:bottom w:val="none" w:sz="0" w:space="0" w:color="auto"/>
        <w:right w:val="none" w:sz="0" w:space="0" w:color="auto"/>
      </w:divBdr>
    </w:div>
    <w:div w:id="468742619">
      <w:bodyDiv w:val="1"/>
      <w:marLeft w:val="0"/>
      <w:marRight w:val="0"/>
      <w:marTop w:val="0"/>
      <w:marBottom w:val="0"/>
      <w:divBdr>
        <w:top w:val="none" w:sz="0" w:space="0" w:color="auto"/>
        <w:left w:val="none" w:sz="0" w:space="0" w:color="auto"/>
        <w:bottom w:val="none" w:sz="0" w:space="0" w:color="auto"/>
        <w:right w:val="none" w:sz="0" w:space="0" w:color="auto"/>
      </w:divBdr>
    </w:div>
    <w:div w:id="522670629">
      <w:bodyDiv w:val="1"/>
      <w:marLeft w:val="0"/>
      <w:marRight w:val="0"/>
      <w:marTop w:val="0"/>
      <w:marBottom w:val="0"/>
      <w:divBdr>
        <w:top w:val="none" w:sz="0" w:space="0" w:color="auto"/>
        <w:left w:val="none" w:sz="0" w:space="0" w:color="auto"/>
        <w:bottom w:val="none" w:sz="0" w:space="0" w:color="auto"/>
        <w:right w:val="none" w:sz="0" w:space="0" w:color="auto"/>
      </w:divBdr>
    </w:div>
    <w:div w:id="589702447">
      <w:bodyDiv w:val="1"/>
      <w:marLeft w:val="0"/>
      <w:marRight w:val="0"/>
      <w:marTop w:val="0"/>
      <w:marBottom w:val="0"/>
      <w:divBdr>
        <w:top w:val="none" w:sz="0" w:space="0" w:color="auto"/>
        <w:left w:val="none" w:sz="0" w:space="0" w:color="auto"/>
        <w:bottom w:val="none" w:sz="0" w:space="0" w:color="auto"/>
        <w:right w:val="none" w:sz="0" w:space="0" w:color="auto"/>
      </w:divBdr>
    </w:div>
    <w:div w:id="63511281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61151005">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872500562">
      <w:bodyDiv w:val="1"/>
      <w:marLeft w:val="0"/>
      <w:marRight w:val="0"/>
      <w:marTop w:val="0"/>
      <w:marBottom w:val="0"/>
      <w:divBdr>
        <w:top w:val="none" w:sz="0" w:space="0" w:color="auto"/>
        <w:left w:val="none" w:sz="0" w:space="0" w:color="auto"/>
        <w:bottom w:val="none" w:sz="0" w:space="0" w:color="auto"/>
        <w:right w:val="none" w:sz="0" w:space="0" w:color="auto"/>
      </w:divBdr>
    </w:div>
    <w:div w:id="907114939">
      <w:bodyDiv w:val="1"/>
      <w:marLeft w:val="0"/>
      <w:marRight w:val="0"/>
      <w:marTop w:val="0"/>
      <w:marBottom w:val="0"/>
      <w:divBdr>
        <w:top w:val="none" w:sz="0" w:space="0" w:color="auto"/>
        <w:left w:val="none" w:sz="0" w:space="0" w:color="auto"/>
        <w:bottom w:val="none" w:sz="0" w:space="0" w:color="auto"/>
        <w:right w:val="none" w:sz="0" w:space="0" w:color="auto"/>
      </w:divBdr>
    </w:div>
    <w:div w:id="941837558">
      <w:bodyDiv w:val="1"/>
      <w:marLeft w:val="0"/>
      <w:marRight w:val="0"/>
      <w:marTop w:val="0"/>
      <w:marBottom w:val="0"/>
      <w:divBdr>
        <w:top w:val="none" w:sz="0" w:space="0" w:color="auto"/>
        <w:left w:val="none" w:sz="0" w:space="0" w:color="auto"/>
        <w:bottom w:val="none" w:sz="0" w:space="0" w:color="auto"/>
        <w:right w:val="none" w:sz="0" w:space="0" w:color="auto"/>
      </w:divBdr>
      <w:divsChild>
        <w:div w:id="815494083">
          <w:marLeft w:val="1123"/>
          <w:marRight w:val="0"/>
          <w:marTop w:val="60"/>
          <w:marBottom w:val="0"/>
          <w:divBdr>
            <w:top w:val="none" w:sz="0" w:space="0" w:color="auto"/>
            <w:left w:val="none" w:sz="0" w:space="0" w:color="auto"/>
            <w:bottom w:val="none" w:sz="0" w:space="0" w:color="auto"/>
            <w:right w:val="none" w:sz="0" w:space="0" w:color="auto"/>
          </w:divBdr>
        </w:div>
        <w:div w:id="1048142442">
          <w:marLeft w:val="1699"/>
          <w:marRight w:val="0"/>
          <w:marTop w:val="60"/>
          <w:marBottom w:val="0"/>
          <w:divBdr>
            <w:top w:val="none" w:sz="0" w:space="0" w:color="auto"/>
            <w:left w:val="none" w:sz="0" w:space="0" w:color="auto"/>
            <w:bottom w:val="none" w:sz="0" w:space="0" w:color="auto"/>
            <w:right w:val="none" w:sz="0" w:space="0" w:color="auto"/>
          </w:divBdr>
        </w:div>
        <w:div w:id="1665937650">
          <w:marLeft w:val="1123"/>
          <w:marRight w:val="0"/>
          <w:marTop w:val="60"/>
          <w:marBottom w:val="0"/>
          <w:divBdr>
            <w:top w:val="none" w:sz="0" w:space="0" w:color="auto"/>
            <w:left w:val="none" w:sz="0" w:space="0" w:color="auto"/>
            <w:bottom w:val="none" w:sz="0" w:space="0" w:color="auto"/>
            <w:right w:val="none" w:sz="0" w:space="0" w:color="auto"/>
          </w:divBdr>
        </w:div>
      </w:divsChild>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08549828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209029030">
      <w:bodyDiv w:val="1"/>
      <w:marLeft w:val="0"/>
      <w:marRight w:val="0"/>
      <w:marTop w:val="0"/>
      <w:marBottom w:val="0"/>
      <w:divBdr>
        <w:top w:val="none" w:sz="0" w:space="0" w:color="auto"/>
        <w:left w:val="none" w:sz="0" w:space="0" w:color="auto"/>
        <w:bottom w:val="none" w:sz="0" w:space="0" w:color="auto"/>
        <w:right w:val="none" w:sz="0" w:space="0" w:color="auto"/>
      </w:divBdr>
    </w:div>
    <w:div w:id="1321807852">
      <w:bodyDiv w:val="1"/>
      <w:marLeft w:val="0"/>
      <w:marRight w:val="0"/>
      <w:marTop w:val="0"/>
      <w:marBottom w:val="0"/>
      <w:divBdr>
        <w:top w:val="none" w:sz="0" w:space="0" w:color="auto"/>
        <w:left w:val="none" w:sz="0" w:space="0" w:color="auto"/>
        <w:bottom w:val="none" w:sz="0" w:space="0" w:color="auto"/>
        <w:right w:val="none" w:sz="0" w:space="0" w:color="auto"/>
      </w:divBdr>
    </w:div>
    <w:div w:id="1431201415">
      <w:bodyDiv w:val="1"/>
      <w:marLeft w:val="0"/>
      <w:marRight w:val="0"/>
      <w:marTop w:val="0"/>
      <w:marBottom w:val="0"/>
      <w:divBdr>
        <w:top w:val="none" w:sz="0" w:space="0" w:color="auto"/>
        <w:left w:val="none" w:sz="0" w:space="0" w:color="auto"/>
        <w:bottom w:val="none" w:sz="0" w:space="0" w:color="auto"/>
        <w:right w:val="none" w:sz="0" w:space="0" w:color="auto"/>
      </w:divBdr>
    </w:div>
    <w:div w:id="1450777661">
      <w:bodyDiv w:val="1"/>
      <w:marLeft w:val="0"/>
      <w:marRight w:val="0"/>
      <w:marTop w:val="0"/>
      <w:marBottom w:val="0"/>
      <w:divBdr>
        <w:top w:val="none" w:sz="0" w:space="0" w:color="auto"/>
        <w:left w:val="none" w:sz="0" w:space="0" w:color="auto"/>
        <w:bottom w:val="none" w:sz="0" w:space="0" w:color="auto"/>
        <w:right w:val="none" w:sz="0" w:space="0" w:color="auto"/>
      </w:divBdr>
    </w:div>
    <w:div w:id="1515267566">
      <w:bodyDiv w:val="1"/>
      <w:marLeft w:val="0"/>
      <w:marRight w:val="0"/>
      <w:marTop w:val="0"/>
      <w:marBottom w:val="0"/>
      <w:divBdr>
        <w:top w:val="none" w:sz="0" w:space="0" w:color="auto"/>
        <w:left w:val="none" w:sz="0" w:space="0" w:color="auto"/>
        <w:bottom w:val="none" w:sz="0" w:space="0" w:color="auto"/>
        <w:right w:val="none" w:sz="0" w:space="0" w:color="auto"/>
      </w:divBdr>
    </w:div>
    <w:div w:id="1533298373">
      <w:bodyDiv w:val="1"/>
      <w:marLeft w:val="0"/>
      <w:marRight w:val="0"/>
      <w:marTop w:val="0"/>
      <w:marBottom w:val="0"/>
      <w:divBdr>
        <w:top w:val="none" w:sz="0" w:space="0" w:color="auto"/>
        <w:left w:val="none" w:sz="0" w:space="0" w:color="auto"/>
        <w:bottom w:val="none" w:sz="0" w:space="0" w:color="auto"/>
        <w:right w:val="none" w:sz="0" w:space="0" w:color="auto"/>
      </w:divBdr>
      <w:divsChild>
        <w:div w:id="108664105">
          <w:marLeft w:val="547"/>
          <w:marRight w:val="0"/>
          <w:marTop w:val="60"/>
          <w:marBottom w:val="0"/>
          <w:divBdr>
            <w:top w:val="none" w:sz="0" w:space="0" w:color="auto"/>
            <w:left w:val="none" w:sz="0" w:space="0" w:color="auto"/>
            <w:bottom w:val="none" w:sz="0" w:space="0" w:color="auto"/>
            <w:right w:val="none" w:sz="0" w:space="0" w:color="auto"/>
          </w:divBdr>
        </w:div>
        <w:div w:id="496071025">
          <w:marLeft w:val="1699"/>
          <w:marRight w:val="0"/>
          <w:marTop w:val="60"/>
          <w:marBottom w:val="0"/>
          <w:divBdr>
            <w:top w:val="none" w:sz="0" w:space="0" w:color="auto"/>
            <w:left w:val="none" w:sz="0" w:space="0" w:color="auto"/>
            <w:bottom w:val="none" w:sz="0" w:space="0" w:color="auto"/>
            <w:right w:val="none" w:sz="0" w:space="0" w:color="auto"/>
          </w:divBdr>
        </w:div>
        <w:div w:id="538205525">
          <w:marLeft w:val="1123"/>
          <w:marRight w:val="0"/>
          <w:marTop w:val="60"/>
          <w:marBottom w:val="0"/>
          <w:divBdr>
            <w:top w:val="none" w:sz="0" w:space="0" w:color="auto"/>
            <w:left w:val="none" w:sz="0" w:space="0" w:color="auto"/>
            <w:bottom w:val="none" w:sz="0" w:space="0" w:color="auto"/>
            <w:right w:val="none" w:sz="0" w:space="0" w:color="auto"/>
          </w:divBdr>
        </w:div>
        <w:div w:id="685909778">
          <w:marLeft w:val="1123"/>
          <w:marRight w:val="0"/>
          <w:marTop w:val="60"/>
          <w:marBottom w:val="0"/>
          <w:divBdr>
            <w:top w:val="none" w:sz="0" w:space="0" w:color="auto"/>
            <w:left w:val="none" w:sz="0" w:space="0" w:color="auto"/>
            <w:bottom w:val="none" w:sz="0" w:space="0" w:color="auto"/>
            <w:right w:val="none" w:sz="0" w:space="0" w:color="auto"/>
          </w:divBdr>
        </w:div>
        <w:div w:id="772482841">
          <w:marLeft w:val="1123"/>
          <w:marRight w:val="0"/>
          <w:marTop w:val="60"/>
          <w:marBottom w:val="0"/>
          <w:divBdr>
            <w:top w:val="none" w:sz="0" w:space="0" w:color="auto"/>
            <w:left w:val="none" w:sz="0" w:space="0" w:color="auto"/>
            <w:bottom w:val="none" w:sz="0" w:space="0" w:color="auto"/>
            <w:right w:val="none" w:sz="0" w:space="0" w:color="auto"/>
          </w:divBdr>
        </w:div>
        <w:div w:id="994643468">
          <w:marLeft w:val="547"/>
          <w:marRight w:val="0"/>
          <w:marTop w:val="60"/>
          <w:marBottom w:val="0"/>
          <w:divBdr>
            <w:top w:val="none" w:sz="0" w:space="0" w:color="auto"/>
            <w:left w:val="none" w:sz="0" w:space="0" w:color="auto"/>
            <w:bottom w:val="none" w:sz="0" w:space="0" w:color="auto"/>
            <w:right w:val="none" w:sz="0" w:space="0" w:color="auto"/>
          </w:divBdr>
        </w:div>
        <w:div w:id="1848324309">
          <w:marLeft w:val="547"/>
          <w:marRight w:val="0"/>
          <w:marTop w:val="60"/>
          <w:marBottom w:val="0"/>
          <w:divBdr>
            <w:top w:val="none" w:sz="0" w:space="0" w:color="auto"/>
            <w:left w:val="none" w:sz="0" w:space="0" w:color="auto"/>
            <w:bottom w:val="none" w:sz="0" w:space="0" w:color="auto"/>
            <w:right w:val="none" w:sz="0" w:space="0" w:color="auto"/>
          </w:divBdr>
        </w:div>
        <w:div w:id="1988901150">
          <w:marLeft w:val="1123"/>
          <w:marRight w:val="0"/>
          <w:marTop w:val="60"/>
          <w:marBottom w:val="0"/>
          <w:divBdr>
            <w:top w:val="none" w:sz="0" w:space="0" w:color="auto"/>
            <w:left w:val="none" w:sz="0" w:space="0" w:color="auto"/>
            <w:bottom w:val="none" w:sz="0" w:space="0" w:color="auto"/>
            <w:right w:val="none" w:sz="0" w:space="0" w:color="auto"/>
          </w:divBdr>
        </w:div>
        <w:div w:id="2004165254">
          <w:marLeft w:val="1123"/>
          <w:marRight w:val="0"/>
          <w:marTop w:val="60"/>
          <w:marBottom w:val="0"/>
          <w:divBdr>
            <w:top w:val="none" w:sz="0" w:space="0" w:color="auto"/>
            <w:left w:val="none" w:sz="0" w:space="0" w:color="auto"/>
            <w:bottom w:val="none" w:sz="0" w:space="0" w:color="auto"/>
            <w:right w:val="none" w:sz="0" w:space="0" w:color="auto"/>
          </w:divBdr>
        </w:div>
      </w:divsChild>
    </w:div>
    <w:div w:id="1651985384">
      <w:bodyDiv w:val="1"/>
      <w:marLeft w:val="0"/>
      <w:marRight w:val="0"/>
      <w:marTop w:val="0"/>
      <w:marBottom w:val="0"/>
      <w:divBdr>
        <w:top w:val="none" w:sz="0" w:space="0" w:color="auto"/>
        <w:left w:val="none" w:sz="0" w:space="0" w:color="auto"/>
        <w:bottom w:val="none" w:sz="0" w:space="0" w:color="auto"/>
        <w:right w:val="none" w:sz="0" w:space="0" w:color="auto"/>
      </w:divBdr>
    </w:div>
    <w:div w:id="1660769767">
      <w:bodyDiv w:val="1"/>
      <w:marLeft w:val="0"/>
      <w:marRight w:val="0"/>
      <w:marTop w:val="0"/>
      <w:marBottom w:val="0"/>
      <w:divBdr>
        <w:top w:val="none" w:sz="0" w:space="0" w:color="auto"/>
        <w:left w:val="none" w:sz="0" w:space="0" w:color="auto"/>
        <w:bottom w:val="none" w:sz="0" w:space="0" w:color="auto"/>
        <w:right w:val="none" w:sz="0" w:space="0" w:color="auto"/>
      </w:divBdr>
    </w:div>
    <w:div w:id="1676298329">
      <w:bodyDiv w:val="1"/>
      <w:marLeft w:val="0"/>
      <w:marRight w:val="0"/>
      <w:marTop w:val="0"/>
      <w:marBottom w:val="0"/>
      <w:divBdr>
        <w:top w:val="none" w:sz="0" w:space="0" w:color="auto"/>
        <w:left w:val="none" w:sz="0" w:space="0" w:color="auto"/>
        <w:bottom w:val="none" w:sz="0" w:space="0" w:color="auto"/>
        <w:right w:val="none" w:sz="0" w:space="0" w:color="auto"/>
      </w:divBdr>
    </w:div>
    <w:div w:id="1784959827">
      <w:bodyDiv w:val="1"/>
      <w:marLeft w:val="0"/>
      <w:marRight w:val="0"/>
      <w:marTop w:val="0"/>
      <w:marBottom w:val="0"/>
      <w:divBdr>
        <w:top w:val="none" w:sz="0" w:space="0" w:color="auto"/>
        <w:left w:val="none" w:sz="0" w:space="0" w:color="auto"/>
        <w:bottom w:val="none" w:sz="0" w:space="0" w:color="auto"/>
        <w:right w:val="none" w:sz="0" w:space="0" w:color="auto"/>
      </w:divBdr>
    </w:div>
    <w:div w:id="1817186096">
      <w:bodyDiv w:val="1"/>
      <w:marLeft w:val="0"/>
      <w:marRight w:val="0"/>
      <w:marTop w:val="0"/>
      <w:marBottom w:val="0"/>
      <w:divBdr>
        <w:top w:val="none" w:sz="0" w:space="0" w:color="auto"/>
        <w:left w:val="none" w:sz="0" w:space="0" w:color="auto"/>
        <w:bottom w:val="none" w:sz="0" w:space="0" w:color="auto"/>
        <w:right w:val="none" w:sz="0" w:space="0" w:color="auto"/>
      </w:divBdr>
    </w:div>
    <w:div w:id="1840971918">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13028010">
      <w:bodyDiv w:val="1"/>
      <w:marLeft w:val="0"/>
      <w:marRight w:val="0"/>
      <w:marTop w:val="0"/>
      <w:marBottom w:val="0"/>
      <w:divBdr>
        <w:top w:val="none" w:sz="0" w:space="0" w:color="auto"/>
        <w:left w:val="none" w:sz="0" w:space="0" w:color="auto"/>
        <w:bottom w:val="none" w:sz="0" w:space="0" w:color="auto"/>
        <w:right w:val="none" w:sz="0" w:space="0" w:color="auto"/>
      </w:divBdr>
    </w:div>
    <w:div w:id="2028174203">
      <w:bodyDiv w:val="1"/>
      <w:marLeft w:val="0"/>
      <w:marRight w:val="0"/>
      <w:marTop w:val="0"/>
      <w:marBottom w:val="0"/>
      <w:divBdr>
        <w:top w:val="none" w:sz="0" w:space="0" w:color="auto"/>
        <w:left w:val="none" w:sz="0" w:space="0" w:color="auto"/>
        <w:bottom w:val="none" w:sz="0" w:space="0" w:color="auto"/>
        <w:right w:val="none" w:sz="0" w:space="0" w:color="auto"/>
      </w:divBdr>
    </w:div>
    <w:div w:id="2039547479">
      <w:bodyDiv w:val="1"/>
      <w:marLeft w:val="0"/>
      <w:marRight w:val="0"/>
      <w:marTop w:val="0"/>
      <w:marBottom w:val="0"/>
      <w:divBdr>
        <w:top w:val="none" w:sz="0" w:space="0" w:color="auto"/>
        <w:left w:val="none" w:sz="0" w:space="0" w:color="auto"/>
        <w:bottom w:val="none" w:sz="0" w:space="0" w:color="auto"/>
        <w:right w:val="none" w:sz="0" w:space="0" w:color="auto"/>
      </w:divBdr>
    </w:div>
    <w:div w:id="2119761942">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55DDABEF-8F8C-4A12-B9C0-C98AE756467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6C7AF74-45B9-449E-9500-6C9514AA7399}">
  <ds:schemaRefs>
    <ds:schemaRef ds:uri="http://schemas.microsoft.com/sharepoint/v3/contenttype/forms"/>
  </ds:schemaRefs>
</ds:datastoreItem>
</file>

<file path=customXml/itemProps3.xml><?xml version="1.0" encoding="utf-8"?>
<ds:datastoreItem xmlns:ds="http://schemas.openxmlformats.org/officeDocument/2006/customXml" ds:itemID="{BA24665A-2AC5-4E1A-9F9D-441086100C48}"/>
</file>

<file path=customXml/itemProps4.xml><?xml version="1.0" encoding="utf-8"?>
<ds:datastoreItem xmlns:ds="http://schemas.openxmlformats.org/officeDocument/2006/customXml" ds:itemID="{3E86C609-398A-4D11-B6F2-34C5EFEBD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3247</Words>
  <Characters>18726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21930</CharactersWithSpaces>
  <SharedDoc>false</SharedDoc>
  <HLinks>
    <vt:vector size="96" baseType="variant">
      <vt:variant>
        <vt:i4>1179700</vt:i4>
      </vt:variant>
      <vt:variant>
        <vt:i4>137</vt:i4>
      </vt:variant>
      <vt:variant>
        <vt:i4>0</vt:i4>
      </vt:variant>
      <vt:variant>
        <vt:i4>5</vt:i4>
      </vt:variant>
      <vt:variant>
        <vt:lpwstr/>
      </vt:variant>
      <vt:variant>
        <vt:lpwstr>_Toc20767665</vt:lpwstr>
      </vt:variant>
      <vt:variant>
        <vt:i4>1245236</vt:i4>
      </vt:variant>
      <vt:variant>
        <vt:i4>134</vt:i4>
      </vt:variant>
      <vt:variant>
        <vt:i4>0</vt:i4>
      </vt:variant>
      <vt:variant>
        <vt:i4>5</vt:i4>
      </vt:variant>
      <vt:variant>
        <vt:lpwstr/>
      </vt:variant>
      <vt:variant>
        <vt:lpwstr>_Toc20767664</vt:lpwstr>
      </vt:variant>
      <vt:variant>
        <vt:i4>1310772</vt:i4>
      </vt:variant>
      <vt:variant>
        <vt:i4>131</vt:i4>
      </vt:variant>
      <vt:variant>
        <vt:i4>0</vt:i4>
      </vt:variant>
      <vt:variant>
        <vt:i4>5</vt:i4>
      </vt:variant>
      <vt:variant>
        <vt:lpwstr/>
      </vt:variant>
      <vt:variant>
        <vt:lpwstr>_Toc20767663</vt:lpwstr>
      </vt:variant>
      <vt:variant>
        <vt:i4>1376308</vt:i4>
      </vt:variant>
      <vt:variant>
        <vt:i4>128</vt:i4>
      </vt:variant>
      <vt:variant>
        <vt:i4>0</vt:i4>
      </vt:variant>
      <vt:variant>
        <vt:i4>5</vt:i4>
      </vt:variant>
      <vt:variant>
        <vt:lpwstr/>
      </vt:variant>
      <vt:variant>
        <vt:lpwstr>_Toc20767662</vt:lpwstr>
      </vt:variant>
      <vt:variant>
        <vt:i4>1441844</vt:i4>
      </vt:variant>
      <vt:variant>
        <vt:i4>125</vt:i4>
      </vt:variant>
      <vt:variant>
        <vt:i4>0</vt:i4>
      </vt:variant>
      <vt:variant>
        <vt:i4>5</vt:i4>
      </vt:variant>
      <vt:variant>
        <vt:lpwstr/>
      </vt:variant>
      <vt:variant>
        <vt:lpwstr>_Toc20767661</vt:lpwstr>
      </vt:variant>
      <vt:variant>
        <vt:i4>1507380</vt:i4>
      </vt:variant>
      <vt:variant>
        <vt:i4>122</vt:i4>
      </vt:variant>
      <vt:variant>
        <vt:i4>0</vt:i4>
      </vt:variant>
      <vt:variant>
        <vt:i4>5</vt:i4>
      </vt:variant>
      <vt:variant>
        <vt:lpwstr/>
      </vt:variant>
      <vt:variant>
        <vt:lpwstr>_Toc20767660</vt:lpwstr>
      </vt:variant>
      <vt:variant>
        <vt:i4>1966135</vt:i4>
      </vt:variant>
      <vt:variant>
        <vt:i4>119</vt:i4>
      </vt:variant>
      <vt:variant>
        <vt:i4>0</vt:i4>
      </vt:variant>
      <vt:variant>
        <vt:i4>5</vt:i4>
      </vt:variant>
      <vt:variant>
        <vt:lpwstr/>
      </vt:variant>
      <vt:variant>
        <vt:lpwstr>_Toc20767659</vt:lpwstr>
      </vt:variant>
      <vt:variant>
        <vt:i4>2031671</vt:i4>
      </vt:variant>
      <vt:variant>
        <vt:i4>116</vt:i4>
      </vt:variant>
      <vt:variant>
        <vt:i4>0</vt:i4>
      </vt:variant>
      <vt:variant>
        <vt:i4>5</vt:i4>
      </vt:variant>
      <vt:variant>
        <vt:lpwstr/>
      </vt:variant>
      <vt:variant>
        <vt:lpwstr>_Toc20767658</vt:lpwstr>
      </vt:variant>
      <vt:variant>
        <vt:i4>1048631</vt:i4>
      </vt:variant>
      <vt:variant>
        <vt:i4>113</vt:i4>
      </vt:variant>
      <vt:variant>
        <vt:i4>0</vt:i4>
      </vt:variant>
      <vt:variant>
        <vt:i4>5</vt:i4>
      </vt:variant>
      <vt:variant>
        <vt:lpwstr/>
      </vt:variant>
      <vt:variant>
        <vt:lpwstr>_Toc20767657</vt:lpwstr>
      </vt:variant>
      <vt:variant>
        <vt:i4>1114167</vt:i4>
      </vt:variant>
      <vt:variant>
        <vt:i4>110</vt:i4>
      </vt:variant>
      <vt:variant>
        <vt:i4>0</vt:i4>
      </vt:variant>
      <vt:variant>
        <vt:i4>5</vt:i4>
      </vt:variant>
      <vt:variant>
        <vt:lpwstr/>
      </vt:variant>
      <vt:variant>
        <vt:lpwstr>_Toc20767656</vt:lpwstr>
      </vt:variant>
      <vt:variant>
        <vt:i4>1179703</vt:i4>
      </vt:variant>
      <vt:variant>
        <vt:i4>107</vt:i4>
      </vt:variant>
      <vt:variant>
        <vt:i4>0</vt:i4>
      </vt:variant>
      <vt:variant>
        <vt:i4>5</vt:i4>
      </vt:variant>
      <vt:variant>
        <vt:lpwstr/>
      </vt:variant>
      <vt:variant>
        <vt:lpwstr>_Toc20767655</vt:lpwstr>
      </vt:variant>
      <vt:variant>
        <vt:i4>1376311</vt:i4>
      </vt:variant>
      <vt:variant>
        <vt:i4>101</vt:i4>
      </vt:variant>
      <vt:variant>
        <vt:i4>0</vt:i4>
      </vt:variant>
      <vt:variant>
        <vt:i4>5</vt:i4>
      </vt:variant>
      <vt:variant>
        <vt:lpwstr/>
      </vt:variant>
      <vt:variant>
        <vt:lpwstr>_Toc20767652</vt:lpwstr>
      </vt:variant>
      <vt:variant>
        <vt:i4>1441847</vt:i4>
      </vt:variant>
      <vt:variant>
        <vt:i4>98</vt:i4>
      </vt:variant>
      <vt:variant>
        <vt:i4>0</vt:i4>
      </vt:variant>
      <vt:variant>
        <vt:i4>5</vt:i4>
      </vt:variant>
      <vt:variant>
        <vt:lpwstr/>
      </vt:variant>
      <vt:variant>
        <vt:lpwstr>_Toc20767651</vt:lpwstr>
      </vt:variant>
      <vt:variant>
        <vt:i4>1507383</vt:i4>
      </vt:variant>
      <vt:variant>
        <vt:i4>95</vt:i4>
      </vt:variant>
      <vt:variant>
        <vt:i4>0</vt:i4>
      </vt:variant>
      <vt:variant>
        <vt:i4>5</vt:i4>
      </vt:variant>
      <vt:variant>
        <vt:lpwstr/>
      </vt:variant>
      <vt:variant>
        <vt:lpwstr>_Toc20767650</vt:lpwstr>
      </vt:variant>
      <vt:variant>
        <vt:i4>1966134</vt:i4>
      </vt:variant>
      <vt:variant>
        <vt:i4>92</vt:i4>
      </vt:variant>
      <vt:variant>
        <vt:i4>0</vt:i4>
      </vt:variant>
      <vt:variant>
        <vt:i4>5</vt:i4>
      </vt:variant>
      <vt:variant>
        <vt:lpwstr/>
      </vt:variant>
      <vt:variant>
        <vt:lpwstr>_Toc20767649</vt:lpwstr>
      </vt:variant>
      <vt:variant>
        <vt:i4>2031670</vt:i4>
      </vt:variant>
      <vt:variant>
        <vt:i4>89</vt:i4>
      </vt:variant>
      <vt:variant>
        <vt:i4>0</vt:i4>
      </vt:variant>
      <vt:variant>
        <vt:i4>5</vt:i4>
      </vt:variant>
      <vt:variant>
        <vt:lpwstr/>
      </vt:variant>
      <vt:variant>
        <vt:lpwstr>_Toc20767648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2019-08-20T08:12:00Z</dcterms:created>
  <dcterms:modified xsi:type="dcterms:W3CDTF">2019-11-09T07:16:00Z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2">
    <vt:lpwstr>198</vt:lpwstr>
  </property>
</Properties>
</file>